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47A9E8" w:rsidR="008B3A6A" w:rsidRDefault="00D4542A">
      <w:pPr>
        <w:spacing w:line="240" w:lineRule="auto"/>
        <w:jc w:val="both"/>
        <w:rPr>
          <w:rFonts w:ascii="News Cycle" w:eastAsia="News Cycle" w:hAnsi="News Cycle" w:cs="News Cycle"/>
          <w:sz w:val="18"/>
          <w:szCs w:val="18"/>
        </w:rPr>
      </w:pPr>
      <w:r>
        <w:rPr>
          <w:b/>
          <w:sz w:val="24"/>
          <w:szCs w:val="24"/>
        </w:rPr>
        <w:t>Hyperbolic Sine</w:t>
      </w:r>
      <w:r w:rsidR="00000000">
        <w:rPr>
          <w:b/>
          <w:sz w:val="24"/>
          <w:szCs w:val="24"/>
        </w:rPr>
        <w:t xml:space="preserve"> Functions</w:t>
      </w:r>
    </w:p>
    <w:p w14:paraId="00000002" w14:textId="77777777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00000003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Introduction</w:t>
      </w:r>
    </w:p>
    <w:p w14:paraId="00000004" w14:textId="77777777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5BBF71E6" w14:textId="4B6FE3BF" w:rsidR="00D4542A" w:rsidRDefault="00000000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A</w:t>
      </w:r>
      <w:r w:rsidR="00D4542A">
        <w:rPr>
          <w:rFonts w:ascii="Spectral" w:eastAsia="Spectral" w:hAnsi="Spectral" w:cs="Spectral"/>
          <w:sz w:val="20"/>
          <w:szCs w:val="20"/>
        </w:rPr>
        <w:t xml:space="preserve"> hyperbolic sine function</w:t>
      </w:r>
      <w:r>
        <w:rPr>
          <w:rFonts w:ascii="Spectral" w:eastAsia="Spectral" w:hAnsi="Spectral" w:cs="Spectral"/>
          <w:sz w:val="20"/>
          <w:szCs w:val="20"/>
        </w:rPr>
        <w:t xml:space="preserve"> is a mathematical operation that calculates </w:t>
      </w:r>
      <w:r w:rsidR="00D4542A">
        <w:rPr>
          <w:rFonts w:ascii="Spectral" w:eastAsia="Spectral" w:hAnsi="Spectral" w:cs="Spectral"/>
          <w:sz w:val="20"/>
          <w:szCs w:val="20"/>
        </w:rPr>
        <w:t xml:space="preserve">the ratio value of the difference of two exponential function: </w:t>
      </w:r>
      <m:oMath>
        <m:f>
          <m:fPr>
            <m:ctrlPr>
              <w:rPr>
                <w:rFonts w:ascii="Cambria Math" w:eastAsia="Spectral" w:hAnsi="Cambria Math" w:cs="Spectral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Spectral" w:hAnsi="Cambria Math" w:cs="Spectr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Spectral" w:hAnsi="Cambria Math" w:cs="Spectral"/>
                    <w:sz w:val="20"/>
                    <w:szCs w:val="20"/>
                  </w:rPr>
                  <m:t>–</m:t>
                </m:r>
                <m:r>
                  <w:rPr>
                    <w:rFonts w:ascii="Cambria Math" w:eastAsia="Spectral" w:hAnsi="Cambria Math" w:cs="Spectral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num>
          <m:den>
            <m:r>
              <w:rPr>
                <w:rFonts w:ascii="Cambria Math" w:eastAsia="Spectral" w:hAnsi="Cambria Math" w:cs="Spectral"/>
                <w:sz w:val="20"/>
                <w:szCs w:val="20"/>
              </w:rPr>
              <m:t>2</m:t>
            </m:r>
          </m:den>
        </m:f>
      </m:oMath>
      <w:r w:rsidR="00D4542A">
        <w:rPr>
          <w:rFonts w:ascii="Spectral" w:eastAsia="Spectral" w:hAnsi="Spectral" w:cs="Spectral"/>
          <w:sz w:val="20"/>
          <w:szCs w:val="20"/>
        </w:rPr>
        <w:t xml:space="preserve"> .  It </w:t>
      </w:r>
      <w:r w:rsidR="00D4542A" w:rsidRPr="00D4542A">
        <w:rPr>
          <w:rFonts w:ascii="Spectral" w:eastAsia="Spectral" w:hAnsi="Spectral" w:cs="Spectral"/>
          <w:sz w:val="20"/>
          <w:szCs w:val="20"/>
        </w:rPr>
        <w:t xml:space="preserve">was first introduced by the mathematician and astronomer Vincenzo </w:t>
      </w:r>
      <w:proofErr w:type="spellStart"/>
      <w:r w:rsidR="00D4542A" w:rsidRPr="00D4542A">
        <w:rPr>
          <w:rFonts w:ascii="Spectral" w:eastAsia="Spectral" w:hAnsi="Spectral" w:cs="Spectral"/>
          <w:sz w:val="20"/>
          <w:szCs w:val="20"/>
        </w:rPr>
        <w:t>Riccati</w:t>
      </w:r>
      <w:proofErr w:type="spellEnd"/>
      <w:r w:rsidR="00D4542A" w:rsidRPr="00D4542A">
        <w:rPr>
          <w:rFonts w:ascii="Spectral" w:eastAsia="Spectral" w:hAnsi="Spectral" w:cs="Spectral"/>
          <w:sz w:val="20"/>
          <w:szCs w:val="20"/>
        </w:rPr>
        <w:t xml:space="preserve"> in 1757</w:t>
      </w:r>
      <w:sdt>
        <w:sdtPr>
          <w:rPr>
            <w:rFonts w:ascii="Spectral" w:eastAsia="Spectral" w:hAnsi="Spectral" w:cs="Spectral"/>
            <w:sz w:val="20"/>
            <w:szCs w:val="20"/>
          </w:rPr>
          <w:id w:val="70551612"/>
          <w:citation/>
        </w:sdtPr>
        <w:sdtContent>
          <w:r w:rsidR="0032196B">
            <w:rPr>
              <w:rFonts w:ascii="Spectral" w:eastAsia="Spectral" w:hAnsi="Spectral" w:cs="Spectral"/>
              <w:sz w:val="20"/>
              <w:szCs w:val="20"/>
            </w:rPr>
            <w:fldChar w:fldCharType="begin"/>
          </w:r>
          <w:r w:rsidR="0032196B">
            <w:rPr>
              <w:rFonts w:ascii="Spectral" w:eastAsia="Spectral" w:hAnsi="Spectral" w:cs="Spectral"/>
              <w:sz w:val="20"/>
              <w:szCs w:val="20"/>
              <w:lang w:val="en-US"/>
            </w:rPr>
            <w:instrText xml:space="preserve"> CITATION Abr72 \l 1033 </w:instrText>
          </w:r>
          <w:r w:rsidR="0032196B">
            <w:rPr>
              <w:rFonts w:ascii="Spectral" w:eastAsia="Spectral" w:hAnsi="Spectral" w:cs="Spectral"/>
              <w:sz w:val="20"/>
              <w:szCs w:val="20"/>
            </w:rPr>
            <w:fldChar w:fldCharType="separate"/>
          </w:r>
          <w:r w:rsidR="00905CFD">
            <w:rPr>
              <w:rFonts w:ascii="Spectral" w:eastAsia="Spectral" w:hAnsi="Spectral" w:cs="Spectral"/>
              <w:noProof/>
              <w:sz w:val="20"/>
              <w:szCs w:val="20"/>
              <w:lang w:val="en-US"/>
            </w:rPr>
            <w:t xml:space="preserve"> </w:t>
          </w:r>
          <w:r w:rsidR="00905CFD" w:rsidRPr="00905CFD">
            <w:rPr>
              <w:rFonts w:ascii="Spectral" w:eastAsia="Spectral" w:hAnsi="Spectral" w:cs="Spectral"/>
              <w:noProof/>
              <w:sz w:val="20"/>
              <w:szCs w:val="20"/>
              <w:lang w:val="en-US"/>
            </w:rPr>
            <w:t>(Abramowitz, 1972)</w:t>
          </w:r>
          <w:r w:rsidR="0032196B">
            <w:rPr>
              <w:rFonts w:ascii="Spectral" w:eastAsia="Spectral" w:hAnsi="Spectral" w:cs="Spectral"/>
              <w:sz w:val="20"/>
              <w:szCs w:val="20"/>
            </w:rPr>
            <w:fldChar w:fldCharType="end"/>
          </w:r>
        </w:sdtContent>
      </w:sdt>
      <w:r w:rsidR="00D4542A">
        <w:rPr>
          <w:rFonts w:ascii="Spectral" w:eastAsia="Spectral" w:hAnsi="Spectral" w:cs="Spectral"/>
          <w:sz w:val="20"/>
          <w:szCs w:val="20"/>
        </w:rPr>
        <w:t xml:space="preserve"> </w:t>
      </w:r>
      <w:r w:rsidR="0032196B">
        <w:rPr>
          <w:rFonts w:ascii="Spectral" w:eastAsia="Spectral" w:hAnsi="Spectral" w:cs="Spectral"/>
          <w:sz w:val="20"/>
          <w:szCs w:val="20"/>
        </w:rPr>
        <w:t xml:space="preserve">. </w:t>
      </w:r>
      <w:r w:rsidR="00D4542A" w:rsidRPr="00D4542A">
        <w:rPr>
          <w:rFonts w:ascii="Spectral" w:eastAsia="Spectral" w:hAnsi="Spectral" w:cs="Spectral"/>
          <w:sz w:val="20"/>
          <w:szCs w:val="20"/>
        </w:rPr>
        <w:t>The hyperbolic sine function plays a crucial role in modern mathematics and finds diverse applications in various fields such as physics, engineering, statistics, and finance.</w:t>
      </w:r>
    </w:p>
    <w:p w14:paraId="00000006" w14:textId="77777777" w:rsidR="008B3A6A" w:rsidRDefault="008B3A6A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</w:p>
    <w:p w14:paraId="00000007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Motivation</w:t>
      </w:r>
    </w:p>
    <w:p w14:paraId="00000008" w14:textId="7A32AD31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0BDCFB53" w14:textId="59E0D4F7" w:rsidR="00005A5D" w:rsidRDefault="00005A5D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Hyperbolic sine function </w:t>
      </w:r>
      <w:r w:rsidR="0032196B">
        <w:rPr>
          <w:rFonts w:ascii="Spectral" w:eastAsia="Spectral" w:hAnsi="Spectral" w:cs="Spectral"/>
          <w:sz w:val="20"/>
          <w:szCs w:val="20"/>
        </w:rPr>
        <w:t>was</w:t>
      </w:r>
      <w:r>
        <w:rPr>
          <w:rFonts w:ascii="Spectral" w:eastAsia="Spectral" w:hAnsi="Spectral" w:cs="Spectral"/>
          <w:sz w:val="20"/>
          <w:szCs w:val="20"/>
        </w:rPr>
        <w:t xml:space="preserve"> invented as a tool for hyperbolic geometry. It’s being used in solving calculus, differential equations, and physic problems. It’s being used in solving hyperbolic functions, combing with the </w:t>
      </w:r>
      <w:r w:rsidR="004240B3">
        <w:rPr>
          <w:rFonts w:ascii="Spectral" w:eastAsia="Spectral" w:hAnsi="Spectral" w:cs="Spectral"/>
          <w:sz w:val="20"/>
          <w:szCs w:val="20"/>
        </w:rPr>
        <w:t>‘</w:t>
      </w:r>
      <w:proofErr w:type="spellStart"/>
      <w:r w:rsidR="004240B3">
        <w:rPr>
          <w:rFonts w:ascii="Spectral" w:eastAsia="Spectral" w:hAnsi="Spectral" w:cs="Spectral"/>
          <w:sz w:val="20"/>
          <w:szCs w:val="20"/>
        </w:rPr>
        <w:t>cosh</w:t>
      </w:r>
      <w:proofErr w:type="spellEnd"/>
      <w:r w:rsidR="004240B3">
        <w:rPr>
          <w:rFonts w:ascii="Spectral" w:eastAsia="Spectral" w:hAnsi="Spectral" w:cs="Spectral"/>
          <w:sz w:val="20"/>
          <w:szCs w:val="20"/>
        </w:rPr>
        <w:t xml:space="preserve">’ </w:t>
      </w:r>
      <w:r>
        <w:rPr>
          <w:rFonts w:ascii="Spectral" w:eastAsia="Spectral" w:hAnsi="Spectral" w:cs="Spectral"/>
          <w:sz w:val="20"/>
          <w:szCs w:val="20"/>
        </w:rPr>
        <w:t>hyperbolic cosine, and deriving the ‘tanh’ h</w:t>
      </w:r>
      <w:r w:rsidR="004240B3">
        <w:rPr>
          <w:rFonts w:ascii="Spectral" w:eastAsia="Spectral" w:hAnsi="Spectral" w:cs="Spectral"/>
          <w:sz w:val="20"/>
          <w:szCs w:val="20"/>
        </w:rPr>
        <w:t>y</w:t>
      </w:r>
      <w:r>
        <w:rPr>
          <w:rFonts w:ascii="Spectral" w:eastAsia="Spectral" w:hAnsi="Spectral" w:cs="Spectral"/>
          <w:sz w:val="20"/>
          <w:szCs w:val="20"/>
        </w:rPr>
        <w:t>perbolic tangent.</w:t>
      </w:r>
    </w:p>
    <w:p w14:paraId="0000000B" w14:textId="77777777" w:rsidR="008B3A6A" w:rsidRDefault="008B3A6A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</w:p>
    <w:p w14:paraId="0000000C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Definition</w:t>
      </w:r>
    </w:p>
    <w:p w14:paraId="0000000D" w14:textId="49F13A45" w:rsidR="008B3A6A" w:rsidRDefault="008B3A6A">
      <w:pPr>
        <w:spacing w:line="240" w:lineRule="auto"/>
        <w:jc w:val="both"/>
        <w:rPr>
          <w:rFonts w:hint="eastAsia"/>
          <w:b/>
          <w:sz w:val="20"/>
          <w:szCs w:val="20"/>
        </w:rPr>
      </w:pPr>
    </w:p>
    <w:p w14:paraId="5A7F2729" w14:textId="060DD9D9" w:rsidR="004240B3" w:rsidRDefault="004240B3">
      <w:pPr>
        <w:spacing w:line="240" w:lineRule="auto"/>
        <w:jc w:val="both"/>
        <w:rPr>
          <w:rFonts w:ascii="Spectral" w:hAnsi="Spectral" w:cs="Spectral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G</w:t>
      </w:r>
      <w:r>
        <w:rPr>
          <w:rFonts w:ascii="Spectral" w:hAnsi="Spectral" w:cs="Spectral"/>
          <w:sz w:val="20"/>
          <w:szCs w:val="20"/>
        </w:rPr>
        <w:t xml:space="preserve">iven one number x where x belongs to the set of all real numbers, </w:t>
      </w:r>
    </w:p>
    <w:p w14:paraId="5C6B0D9B" w14:textId="10A26BD5" w:rsidR="004240B3" w:rsidRDefault="004240B3">
      <w:pPr>
        <w:spacing w:line="240" w:lineRule="auto"/>
        <w:jc w:val="both"/>
        <w:rPr>
          <w:rFonts w:ascii="Spectral" w:hAnsi="Spectral" w:cs="Spectral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T</w:t>
      </w:r>
      <w:r>
        <w:rPr>
          <w:rFonts w:ascii="Spectral" w:hAnsi="Spectral" w:cs="Spectral"/>
          <w:sz w:val="20"/>
          <w:szCs w:val="20"/>
        </w:rPr>
        <w:t>he Hyperbolic sine of x respect to the unique real number y that can be defined as:</w:t>
      </w:r>
    </w:p>
    <w:p w14:paraId="420F84C0" w14:textId="1406EE0A" w:rsidR="004240B3" w:rsidRDefault="004240B3" w:rsidP="004240B3">
      <w:pPr>
        <w:spacing w:line="240" w:lineRule="auto"/>
        <w:jc w:val="center"/>
        <w:rPr>
          <w:rFonts w:ascii="Spectral" w:hAnsi="Spectral" w:cs="Spectral"/>
          <w:sz w:val="20"/>
          <w:szCs w:val="20"/>
        </w:rPr>
      </w:pPr>
      <w:r>
        <w:rPr>
          <w:rFonts w:ascii="Spectral" w:hAnsi="Spectral" w:cs="Spectral"/>
          <w:sz w:val="20"/>
          <w:szCs w:val="20"/>
        </w:rPr>
        <w:t xml:space="preserve">y = </w:t>
      </w:r>
      <m:oMath>
        <m:f>
          <m:fPr>
            <m:ctrlPr>
              <w:rPr>
                <w:rFonts w:ascii="Cambria Math" w:eastAsia="Spectral" w:hAnsi="Cambria Math" w:cs="Spectral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Spectral" w:hAnsi="Cambria Math" w:cs="Spectr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Spectral" w:hAnsi="Cambria Math" w:cs="Spectral"/>
                    <w:sz w:val="20"/>
                    <w:szCs w:val="20"/>
                  </w:rPr>
                  <m:t>–</m:t>
                </m:r>
                <m:r>
                  <w:rPr>
                    <w:rFonts w:ascii="Cambria Math" w:eastAsia="Spectral" w:hAnsi="Cambria Math" w:cs="Spectral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num>
          <m:den>
            <m:r>
              <w:rPr>
                <w:rFonts w:ascii="Cambria Math" w:eastAsia="Spectral" w:hAnsi="Cambria Math" w:cs="Spectral"/>
                <w:sz w:val="20"/>
                <w:szCs w:val="20"/>
              </w:rPr>
              <m:t>2</m:t>
            </m:r>
          </m:den>
        </m:f>
      </m:oMath>
    </w:p>
    <w:p w14:paraId="20BFFA77" w14:textId="29BC9F7E" w:rsidR="004240B3" w:rsidRDefault="004240B3">
      <w:pPr>
        <w:spacing w:line="240" w:lineRule="auto"/>
        <w:jc w:val="both"/>
        <w:rPr>
          <w:rFonts w:ascii="Spectral" w:hAnsi="Spectral" w:cs="Spectral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I</w:t>
      </w:r>
      <w:r>
        <w:rPr>
          <w:rFonts w:ascii="Spectral" w:hAnsi="Spectral" w:cs="Spectral"/>
          <w:sz w:val="20"/>
          <w:szCs w:val="20"/>
        </w:rPr>
        <w:t>n mathematical notation, this is written as:</w:t>
      </w:r>
    </w:p>
    <w:p w14:paraId="443F5B06" w14:textId="37D7F106" w:rsidR="004240B3" w:rsidRDefault="004240B3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Spectr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pectral"/>
                  <w:sz w:val="20"/>
                  <w:szCs w:val="20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="Spectr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Spectral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Spectral"/>
              <w:sz w:val="20"/>
              <w:szCs w:val="20"/>
            </w:rPr>
            <m:t>=y</m:t>
          </m:r>
        </m:oMath>
      </m:oMathPara>
    </w:p>
    <w:p w14:paraId="79F852AB" w14:textId="52BC6FF3" w:rsidR="004240B3" w:rsidRDefault="004240B3">
      <w:pPr>
        <w:spacing w:line="240" w:lineRule="auto"/>
        <w:jc w:val="both"/>
        <w:rPr>
          <w:rFonts w:ascii="Spectral" w:hAnsi="Spectral" w:cs="Spectral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W</w:t>
      </w:r>
      <w:r>
        <w:rPr>
          <w:rFonts w:ascii="Spectral" w:hAnsi="Spectral" w:cs="Spectral"/>
          <w:sz w:val="20"/>
          <w:szCs w:val="20"/>
        </w:rPr>
        <w:t>here ‘e’ is the mathematica</w:t>
      </w:r>
      <w:r>
        <w:rPr>
          <w:rFonts w:ascii="Spectral" w:hAnsi="Spectral" w:cs="Spectral" w:hint="eastAsia"/>
          <w:sz w:val="20"/>
          <w:szCs w:val="20"/>
        </w:rPr>
        <w:t>l</w:t>
      </w:r>
      <w:r>
        <w:rPr>
          <w:rFonts w:ascii="Spectral" w:hAnsi="Spectral" w:cs="Spectral"/>
          <w:sz w:val="20"/>
          <w:szCs w:val="20"/>
        </w:rPr>
        <w:t xml:space="preserve"> constant approximately equal to ‘2.71828’.</w:t>
      </w:r>
    </w:p>
    <w:p w14:paraId="2DCA0054" w14:textId="77777777" w:rsidR="004240B3" w:rsidRDefault="004240B3">
      <w:pPr>
        <w:spacing w:line="240" w:lineRule="auto"/>
        <w:jc w:val="both"/>
        <w:rPr>
          <w:b/>
          <w:sz w:val="20"/>
          <w:szCs w:val="20"/>
        </w:rPr>
      </w:pPr>
    </w:p>
    <w:p w14:paraId="0000001A" w14:textId="034CA105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Graphical Representation</w:t>
      </w:r>
    </w:p>
    <w:p w14:paraId="0000001B" w14:textId="77777777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0000001D" w14:textId="4355E484" w:rsidR="008B3A6A" w:rsidRDefault="004240B3" w:rsidP="004240B3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90C2A6D" wp14:editId="5F8B1BEF">
            <wp:extent cx="4167013" cy="2571750"/>
            <wp:effectExtent l="0" t="0" r="508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034" cy="26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79D2" w14:textId="58595AB8" w:rsidR="0032196B" w:rsidRDefault="0032196B" w:rsidP="004240B3">
      <w:pPr>
        <w:spacing w:line="240" w:lineRule="auto"/>
        <w:jc w:val="center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igure1: Graph of hyper sine function.</w:t>
      </w:r>
      <w:sdt>
        <w:sdtPr>
          <w:rPr>
            <w:sz w:val="20"/>
            <w:szCs w:val="20"/>
          </w:rPr>
          <w:id w:val="-637179745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CITATION Wei23 \l 1033 </w:instrText>
          </w:r>
          <w:r>
            <w:rPr>
              <w:sz w:val="20"/>
              <w:szCs w:val="20"/>
            </w:rPr>
            <w:fldChar w:fldCharType="separate"/>
          </w:r>
          <w:r w:rsidR="00905CFD">
            <w:rPr>
              <w:noProof/>
              <w:sz w:val="20"/>
              <w:szCs w:val="20"/>
              <w:lang w:val="en-US"/>
            </w:rPr>
            <w:t xml:space="preserve"> </w:t>
          </w:r>
          <w:r w:rsidR="00905CFD" w:rsidRPr="00905CFD">
            <w:rPr>
              <w:noProof/>
              <w:sz w:val="20"/>
              <w:szCs w:val="20"/>
              <w:lang w:val="en-US"/>
            </w:rPr>
            <w:t>(Weisstein, 2023)</w:t>
          </w:r>
          <w:r>
            <w:rPr>
              <w:sz w:val="20"/>
              <w:szCs w:val="20"/>
            </w:rPr>
            <w:fldChar w:fldCharType="end"/>
          </w:r>
        </w:sdtContent>
      </w:sdt>
    </w:p>
    <w:p w14:paraId="45CF08BB" w14:textId="77777777" w:rsidR="004240B3" w:rsidRDefault="004240B3">
      <w:pPr>
        <w:spacing w:line="240" w:lineRule="auto"/>
        <w:jc w:val="both"/>
        <w:rPr>
          <w:b/>
          <w:sz w:val="20"/>
          <w:szCs w:val="20"/>
        </w:rPr>
      </w:pPr>
    </w:p>
    <w:p w14:paraId="0000001E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Applications</w:t>
      </w:r>
    </w:p>
    <w:p w14:paraId="0000001F" w14:textId="440C371C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5F93DFDC" w14:textId="447CA871" w:rsidR="00905CFD" w:rsidRDefault="00AA0B15" w:rsidP="00905CFD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Hyperbolic sine function </w:t>
      </w:r>
      <w:proofErr w:type="gramStart"/>
      <w:r>
        <w:rPr>
          <w:rFonts w:ascii="Spectral" w:eastAsia="Spectral" w:hAnsi="Spectral" w:cs="Spectral"/>
          <w:sz w:val="20"/>
          <w:szCs w:val="20"/>
        </w:rPr>
        <w:t>have</w:t>
      </w:r>
      <w:proofErr w:type="gramEnd"/>
      <w:r>
        <w:rPr>
          <w:rFonts w:ascii="Spectral" w:eastAsia="Spectral" w:hAnsi="Spectral" w:cs="Spectral"/>
          <w:sz w:val="20"/>
          <w:szCs w:val="20"/>
        </w:rPr>
        <w:t xml:space="preserve"> been widely used in the calculations of angles and distances in hyperbolic geometry. </w:t>
      </w:r>
      <w:r>
        <w:rPr>
          <w:rFonts w:ascii="Spectral" w:hAnsi="Spectral" w:cs="Spectral"/>
          <w:sz w:val="20"/>
          <w:szCs w:val="20"/>
        </w:rPr>
        <w:t>It became useful in probabilit</w:t>
      </w:r>
      <w:r>
        <w:rPr>
          <w:rFonts w:ascii="Spectral" w:hAnsi="Spectral" w:cs="Spectral" w:hint="eastAsia"/>
          <w:sz w:val="20"/>
          <w:szCs w:val="20"/>
        </w:rPr>
        <w:t>y</w:t>
      </w:r>
      <w:r>
        <w:rPr>
          <w:rFonts w:ascii="Spectral" w:hAnsi="Spectral" w:cs="Spectral"/>
          <w:sz w:val="20"/>
          <w:szCs w:val="20"/>
        </w:rPr>
        <w:t xml:space="preserve"> theory and statics, including the modeling of random variables. It also appears in the modeling of non-Euclidean geometries and the study of hyperbolic surfaces’ behavior.</w:t>
      </w:r>
      <w:r w:rsidR="00905CFD">
        <w:rPr>
          <w:rFonts w:ascii="Spectral" w:hAnsi="Spectral" w:cs="Spectral"/>
          <w:sz w:val="20"/>
          <w:szCs w:val="20"/>
        </w:rPr>
        <w:t xml:space="preserve"> </w:t>
      </w:r>
      <w:sdt>
        <w:sdtPr>
          <w:rPr>
            <w:rFonts w:ascii="Spectral" w:hAnsi="Spectral" w:cs="Spectral" w:hint="eastAsia"/>
            <w:sz w:val="20"/>
            <w:szCs w:val="20"/>
          </w:rPr>
          <w:id w:val="-1457941556"/>
          <w:citation/>
        </w:sdtPr>
        <w:sdtContent>
          <w:r w:rsidR="00905CFD">
            <w:rPr>
              <w:rFonts w:ascii="Spectral" w:hAnsi="Spectral" w:cs="Spectral" w:hint="eastAsia"/>
              <w:sz w:val="20"/>
              <w:szCs w:val="20"/>
            </w:rPr>
            <w:fldChar w:fldCharType="begin"/>
          </w:r>
          <w:r w:rsidR="00905CFD">
            <w:rPr>
              <w:rFonts w:ascii="Spectral" w:hAnsi="Spectral" w:cs="Spectral" w:hint="eastAsia"/>
              <w:sz w:val="20"/>
              <w:szCs w:val="20"/>
              <w:lang w:val="en-US"/>
            </w:rPr>
            <w:instrText xml:space="preserve"> </w:instrText>
          </w:r>
          <w:r w:rsidR="00905CFD">
            <w:rPr>
              <w:rFonts w:ascii="Spectral" w:hAnsi="Spectral" w:cs="Spectral"/>
              <w:sz w:val="20"/>
              <w:szCs w:val="20"/>
              <w:lang w:val="en-US"/>
            </w:rPr>
            <w:instrText>CITATION Zwi95 \l 1033</w:instrText>
          </w:r>
          <w:r w:rsidR="00905CFD">
            <w:rPr>
              <w:rFonts w:ascii="Spectral" w:hAnsi="Spectral" w:cs="Spectral" w:hint="eastAsia"/>
              <w:sz w:val="20"/>
              <w:szCs w:val="20"/>
              <w:lang w:val="en-US"/>
            </w:rPr>
            <w:instrText xml:space="preserve"> </w:instrText>
          </w:r>
          <w:r w:rsidR="00905CFD">
            <w:rPr>
              <w:rFonts w:ascii="Spectral" w:hAnsi="Spectral" w:cs="Spectral" w:hint="eastAsia"/>
              <w:sz w:val="20"/>
              <w:szCs w:val="20"/>
            </w:rPr>
            <w:fldChar w:fldCharType="separate"/>
          </w:r>
          <w:r w:rsidR="00905CFD" w:rsidRPr="00905CFD">
            <w:rPr>
              <w:rFonts w:ascii="Spectral" w:hAnsi="Spectral" w:cs="Spectral"/>
              <w:noProof/>
              <w:sz w:val="20"/>
              <w:szCs w:val="20"/>
              <w:lang w:val="en-US"/>
            </w:rPr>
            <w:t>(Zwillinger, 1995)</w:t>
          </w:r>
          <w:r w:rsidR="00905CFD">
            <w:rPr>
              <w:rFonts w:ascii="Spectral" w:hAnsi="Spectral" w:cs="Spectral" w:hint="eastAsia"/>
              <w:sz w:val="20"/>
              <w:szCs w:val="20"/>
            </w:rPr>
            <w:fldChar w:fldCharType="end"/>
          </w:r>
        </w:sdtContent>
      </w:sdt>
    </w:p>
    <w:p w14:paraId="49D6C699" w14:textId="77777777" w:rsidR="0032196B" w:rsidRPr="00AA0B15" w:rsidRDefault="0032196B">
      <w:pPr>
        <w:spacing w:line="240" w:lineRule="auto"/>
        <w:jc w:val="both"/>
        <w:rPr>
          <w:rFonts w:ascii="Spectral" w:hAnsi="Spectral" w:cs="Spectral" w:hint="eastAsia"/>
          <w:sz w:val="20"/>
          <w:szCs w:val="20"/>
          <w:lang w:val="en-US"/>
        </w:rPr>
      </w:pPr>
    </w:p>
    <w:sdt>
      <w:sdtPr>
        <w:id w:val="-528033647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5A163481" w14:textId="40860391" w:rsidR="0032196B" w:rsidRDefault="0032196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46C6C4D" w14:textId="77777777" w:rsidR="00905CFD" w:rsidRDefault="0032196B" w:rsidP="00905CF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5CFD">
                <w:rPr>
                  <w:noProof/>
                </w:rPr>
                <w:t xml:space="preserve">Abramowitz, M. a. (1972). Hyperbolic Functions. In </w:t>
              </w:r>
              <w:r w:rsidR="00905CFD">
                <w:rPr>
                  <w:i/>
                  <w:iCs/>
                  <w:noProof/>
                </w:rPr>
                <w:t>Handbook of Mathematical Functions with Formulas, Graphs, and Mathematical Tables, 9th printing</w:t>
              </w:r>
              <w:r w:rsidR="00905CFD">
                <w:rPr>
                  <w:noProof/>
                </w:rPr>
                <w:t xml:space="preserve"> (pp. 83-86). New York.</w:t>
              </w:r>
            </w:p>
            <w:p w14:paraId="6E837B8B" w14:textId="77777777" w:rsidR="00905CFD" w:rsidRDefault="00905CFD" w:rsidP="00905C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Weisstein, E. (2023, 2). </w:t>
              </w:r>
              <w:r>
                <w:rPr>
                  <w:i/>
                  <w:iCs/>
                  <w:noProof/>
                </w:rPr>
                <w:t>Hyperbolic Sine</w:t>
              </w:r>
              <w:r>
                <w:rPr>
                  <w:noProof/>
                </w:rPr>
                <w:t>. From MathWorld--A Wolfram Web Resource: http://mathworld.wolfram.com/HyperbolicSine.html</w:t>
              </w:r>
            </w:p>
            <w:p w14:paraId="45277ED4" w14:textId="77777777" w:rsidR="00905CFD" w:rsidRDefault="00905CFD" w:rsidP="00905C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Zwillinger, D. (. (1995). Hyperbolic Functions. In </w:t>
              </w:r>
              <w:r>
                <w:rPr>
                  <w:i/>
                  <w:iCs/>
                  <w:noProof/>
                </w:rPr>
                <w:t>CRC Standard Mathematical Tables and Formulae</w:t>
              </w:r>
              <w:r>
                <w:rPr>
                  <w:noProof/>
                </w:rPr>
                <w:t xml:space="preserve"> (pp. 476-481). Boca Raton: CRC Press.</w:t>
              </w:r>
            </w:p>
            <w:p w14:paraId="4EFFB340" w14:textId="59C70255" w:rsidR="0032196B" w:rsidRPr="00FA2C3A" w:rsidRDefault="0032196B" w:rsidP="00905CFD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2196B" w:rsidRPr="00FA2C3A">
      <w:pgSz w:w="12240" w:h="15840"/>
      <w:pgMar w:top="72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Cycle"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6A"/>
    <w:rsid w:val="00005A5D"/>
    <w:rsid w:val="0032196B"/>
    <w:rsid w:val="004240B3"/>
    <w:rsid w:val="008B3A6A"/>
    <w:rsid w:val="00905CFD"/>
    <w:rsid w:val="00AA0B15"/>
    <w:rsid w:val="00D4542A"/>
    <w:rsid w:val="00F3589C"/>
    <w:rsid w:val="00FA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5379"/>
  <w15:docId w15:val="{1881603E-EB9C-4C7B-AE10-D2B8F753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D454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196B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32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Wei23</b:Tag>
    <b:SourceType>InternetSite</b:SourceType>
    <b:Guid>{466F4130-FA89-4327-B29A-D61A4B6844DA}</b:Guid>
    <b:Title>Hyperbolic Sine</b:Title>
    <b:Year>2023</b:Year>
    <b:Author>
      <b:Author>
        <b:NameList>
          <b:Person>
            <b:Last>Weisstein</b:Last>
            <b:First>E.W</b:First>
          </b:Person>
        </b:NameList>
      </b:Author>
    </b:Author>
    <b:InternetSiteTitle>MathWorld--A Wolfram Web Resource</b:InternetSiteTitle>
    <b:Month>2</b:Month>
    <b:URL>http://mathworld.wolfram.com/HyperbolicSine.html</b:URL>
    <b:RefOrder>2</b:RefOrder>
  </b:Source>
  <b:Source>
    <b:Tag>Abr72</b:Tag>
    <b:SourceType>BookSection</b:SourceType>
    <b:Guid>{ACF36AA3-4EDF-417B-AF80-9CA48FF1030A}</b:Guid>
    <b:Title>Hyperbolic Functions</b:Title>
    <b:Year>1972</b:Year>
    <b:Author>
      <b:Author>
        <b:NameList>
          <b:Person>
            <b:Last>Abramowitz</b:Last>
            <b:First>M.</b:First>
            <b:Middle>and Stegun, I. A</b:Middle>
          </b:Person>
        </b:NameList>
      </b:Author>
    </b:Author>
    <b:BookTitle>Handbook of Mathematical Functions with Formulas, Graphs, and Mathematical Tables, 9th printing</b:BookTitle>
    <b:Pages>83-86</b:Pages>
    <b:City>New York</b:City>
    <b:RefOrder>1</b:RefOrder>
  </b:Source>
  <b:Source>
    <b:Tag>Zwi95</b:Tag>
    <b:SourceType>BookSection</b:SourceType>
    <b:Guid>{9431A3C9-B8FD-42AD-A212-1EEDE2E8BEE9}</b:Guid>
    <b:Author>
      <b:Author>
        <b:NameList>
          <b:Person>
            <b:Last>Zwillinger</b:Last>
            <b:First>D.</b:First>
            <b:Middle>(Ed.)</b:Middle>
          </b:Person>
        </b:NameList>
      </b:Author>
    </b:Author>
    <b:Title>Hyperbolic Functions</b:Title>
    <b:BookTitle>CRC Standard Mathematical Tables and Formulae</b:BookTitle>
    <b:Year>1995</b:Year>
    <b:Pages>476-481</b:Pages>
    <b:City>Boca Raton</b:City>
    <b:Publisher>CRC Press</b:Publisher>
    <b:RefOrder>3</b:RefOrder>
  </b:Source>
</b:Sources>
</file>

<file path=customXml/itemProps1.xml><?xml version="1.0" encoding="utf-8"?>
<ds:datastoreItem xmlns:ds="http://schemas.openxmlformats.org/officeDocument/2006/customXml" ds:itemID="{8A68EC79-2883-42AF-80E8-4C18E2BE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JiaQi Gu</dc:creator>
  <cp:lastModifiedBy>Gu JiaQi</cp:lastModifiedBy>
  <cp:revision>4</cp:revision>
  <dcterms:created xsi:type="dcterms:W3CDTF">2023-02-17T00:53:00Z</dcterms:created>
  <dcterms:modified xsi:type="dcterms:W3CDTF">2023-02-17T00:55:00Z</dcterms:modified>
</cp:coreProperties>
</file>