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Single Asset - MR Tokens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Everything boild down to this single asset. The boxes are used to garuntee value in the network, yet they arent another asset, yet a collection of the tokens. This simplifies maintaing assets and tokens and strengthens the long-term value of the MR Token.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