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039DE" w14:textId="77769CA6" w:rsidR="00534362" w:rsidRDefault="00E74215">
      <w:r>
        <w:rPr>
          <w:rFonts w:hint="eastAsia"/>
        </w:rPr>
        <w:t>熱力学２　第8回　復習レポート</w:t>
      </w:r>
    </w:p>
    <w:p w14:paraId="0DC3672B" w14:textId="2BD03628" w:rsidR="00E74215" w:rsidRPr="00E74215" w:rsidRDefault="00985E5C" w:rsidP="00E74215">
      <w:pPr>
        <w:rPr>
          <w:rFonts w:hint="eastAsia"/>
        </w:rPr>
      </w:pPr>
      <w:r>
        <w:rPr>
          <w:rFonts w:hint="eastAsia"/>
        </w:rPr>
        <w:t>1．</w:t>
      </w:r>
      <w:r w:rsidR="00E74215" w:rsidRPr="00E74215">
        <w:t>表面張力</w:t>
      </w:r>
      <w:r>
        <w:rPr>
          <w:rFonts w:hint="eastAsia"/>
        </w:rPr>
        <w:t>の基本式</w:t>
      </w:r>
    </w:p>
    <w:p w14:paraId="1C59A42E" w14:textId="77777777" w:rsidR="00E74215" w:rsidRPr="00E74215" w:rsidRDefault="00E74215" w:rsidP="00E74215">
      <w:r w:rsidRPr="00E74215">
        <w:t>表面張力の基本式</w:t>
      </w:r>
    </w:p>
    <w:p w14:paraId="35FC3E18" w14:textId="4E3939A3" w:rsidR="00E74215" w:rsidRDefault="00985E5C" w:rsidP="00E74215">
      <w:r>
        <w:rPr>
          <w:rFonts w:hint="eastAsia"/>
        </w:rPr>
        <w:t>・</w:t>
      </w:r>
      <w:r w:rsidR="00E74215" w:rsidRPr="00E74215">
        <w:t>表面積</w:t>
      </w:r>
      <m:oMath>
        <m:r>
          <w:rPr>
            <w:rFonts w:ascii="Cambria Math" w:hAnsi="Cambria Math"/>
          </w:rPr>
          <m:t>σ</m:t>
        </m:r>
      </m:oMath>
      <w:r w:rsidR="00E74215" w:rsidRPr="00E74215">
        <w:t>を</w:t>
      </w:r>
      <m:oMath>
        <m:r>
          <w:rPr>
            <w:rFonts w:ascii="Cambria Math" w:hAnsi="Cambria Math"/>
          </w:rPr>
          <m:t>σ+dσ</m:t>
        </m:r>
      </m:oMath>
      <w:r w:rsidR="00E74215" w:rsidRPr="00E74215">
        <w:t>に増加させる際の仕事は</w:t>
      </w:r>
      <w:r>
        <w:rPr>
          <w:rFonts w:hint="eastAsia"/>
        </w:rPr>
        <w:t>以下のように表すことができる</w:t>
      </w:r>
    </w:p>
    <w:p w14:paraId="32E122D8" w14:textId="4F38C4A3" w:rsidR="00985E5C" w:rsidRPr="00E74215" w:rsidRDefault="00985E5C" w:rsidP="00E74215">
      <w:pPr>
        <w:rPr>
          <w:rFonts w:hint="eastAsia"/>
        </w:rPr>
      </w:pPr>
      <w:r>
        <w:rPr>
          <w:rFonts w:hint="eastAsia"/>
        </w:rPr>
        <w:t xml:space="preserve">　　　</w:t>
      </w:r>
      <m:oMath>
        <m:r>
          <w:rPr>
            <w:rFonts w:ascii="Cambria Math" w:hAnsi="Cambria Math"/>
          </w:rPr>
          <m:t>d</m:t>
        </m:r>
        <m:sSup>
          <m:sSupPr>
            <m:ctrlPr>
              <w:rPr>
                <w:rFonts w:ascii="Cambria Math" w:hAnsi="Cambria Math"/>
              </w:rPr>
            </m:ctrlPr>
          </m:sSupPr>
          <m:e>
            <m:r>
              <w:rPr>
                <w:rFonts w:ascii="Cambria Math" w:hAnsi="Cambria Math"/>
              </w:rPr>
              <m:t>L</m:t>
            </m:r>
          </m:e>
          <m:sup>
            <m:r>
              <m:rPr>
                <m:sty m:val="p"/>
              </m:rPr>
              <w:rPr>
                <w:rFonts w:ascii="Cambria Math" w:hAnsi="Cambria Math"/>
              </w:rPr>
              <m:t>'</m:t>
            </m:r>
          </m:sup>
        </m:sSup>
        <m:r>
          <w:rPr>
            <w:rFonts w:ascii="Cambria Math" w:hAnsi="Cambria Math"/>
          </w:rPr>
          <m:t>=γdσ</m:t>
        </m:r>
      </m:oMath>
    </w:p>
    <w:p w14:paraId="28E70034" w14:textId="314A4B37" w:rsidR="00E74215" w:rsidRDefault="00E74215" w:rsidP="00E74215">
      <w:r w:rsidRPr="00E74215">
        <w:t>ここで、</w:t>
      </w:r>
      <m:oMath>
        <m:r>
          <w:rPr>
            <w:rFonts w:ascii="Cambria Math" w:hAnsi="Cambria Math"/>
          </w:rPr>
          <m:t>γ</m:t>
        </m:r>
      </m:oMath>
      <w:r w:rsidRPr="00E74215">
        <w:t>は表面張力。次元は</w:t>
      </w:r>
      <m:oMath>
        <m:r>
          <w:rPr>
            <w:rFonts w:ascii="Cambria Math" w:hAnsi="Cambria Math"/>
          </w:rPr>
          <m:t>[</m:t>
        </m:r>
        <m:f>
          <m:fPr>
            <m:type m:val="lin"/>
            <m:ctrlPr>
              <w:rPr>
                <w:rFonts w:ascii="Cambria Math" w:hAnsi="Cambria Math"/>
                <w:i/>
              </w:rPr>
            </m:ctrlPr>
          </m:fPr>
          <m:num>
            <m:r>
              <w:rPr>
                <w:rFonts w:ascii="Cambria Math" w:hAnsi="Cambria Math"/>
              </w:rPr>
              <m:t>N</m:t>
            </m:r>
          </m:num>
          <m:den>
            <m:r>
              <w:rPr>
                <w:rFonts w:ascii="Cambria Math" w:hAnsi="Cambria Math"/>
              </w:rPr>
              <m:t>m</m:t>
            </m:r>
          </m:den>
        </m:f>
        <m:r>
          <w:rPr>
            <w:rFonts w:ascii="Cambria Math" w:hAnsi="Cambria Math"/>
          </w:rPr>
          <m:t>]</m:t>
        </m:r>
      </m:oMath>
      <w:r w:rsidRPr="00E74215">
        <w:t>または</w:t>
      </w:r>
      <m:oMath>
        <m:r>
          <w:rPr>
            <w:rFonts w:ascii="Cambria Math" w:hAnsi="Cambria Math"/>
          </w:rPr>
          <m:t>[</m:t>
        </m:r>
        <m:f>
          <m:fPr>
            <m:type m:val="lin"/>
            <m:ctrlPr>
              <w:rPr>
                <w:rFonts w:ascii="Cambria Math" w:hAnsi="Cambria Math"/>
                <w:i/>
              </w:rPr>
            </m:ctrlPr>
          </m:fPr>
          <m:num>
            <m:r>
              <w:rPr>
                <w:rFonts w:ascii="Cambria Math" w:hAnsi="Cambria Math"/>
              </w:rPr>
              <m:t>J</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w:r w:rsidRPr="00E74215">
        <w:t>。</w:t>
      </w:r>
    </w:p>
    <w:p w14:paraId="5C765443" w14:textId="77777777" w:rsidR="0056687C" w:rsidRPr="00E74215" w:rsidRDefault="0056687C" w:rsidP="00E74215">
      <w:pPr>
        <w:rPr>
          <w:rFonts w:hint="eastAsia"/>
        </w:rPr>
      </w:pPr>
    </w:p>
    <w:p w14:paraId="40FF8A6E" w14:textId="5455BB47" w:rsidR="00E74215" w:rsidRDefault="00985E5C" w:rsidP="00E74215">
      <w:r>
        <w:rPr>
          <w:rFonts w:hint="eastAsia"/>
        </w:rPr>
        <w:t>・</w:t>
      </w:r>
      <w:r w:rsidR="00E74215" w:rsidRPr="00E74215">
        <w:t>ヘルムホルツ自由エネルギー</w:t>
      </w:r>
      <m:oMath>
        <m:r>
          <w:rPr>
            <w:rFonts w:ascii="Cambria Math" w:hAnsi="Cambria Math"/>
          </w:rPr>
          <m:t>F</m:t>
        </m:r>
      </m:oMath>
      <w:r w:rsidR="00E74215" w:rsidRPr="00E74215">
        <w:t>の全微分に表面項を加えると</w:t>
      </w:r>
    </w:p>
    <w:p w14:paraId="7746CCC3" w14:textId="36AF6077" w:rsidR="00985E5C" w:rsidRDefault="00985E5C" w:rsidP="00E74215">
      <w:r>
        <w:rPr>
          <w:rFonts w:hint="eastAsia"/>
        </w:rPr>
        <w:t xml:space="preserve">　　　</w:t>
      </w:r>
      <m:oMath>
        <m:r>
          <w:rPr>
            <w:rFonts w:ascii="Cambria Math" w:hAnsi="Cambria Math"/>
          </w:rPr>
          <m:t>dF=-SdT-PdV+μdN+γdσ.</m:t>
        </m:r>
      </m:oMath>
    </w:p>
    <w:p w14:paraId="7C8117D7" w14:textId="77777777" w:rsidR="0056687C" w:rsidRPr="00E74215" w:rsidRDefault="0056687C" w:rsidP="00E74215">
      <w:pPr>
        <w:rPr>
          <w:rFonts w:hint="eastAsia"/>
        </w:rPr>
      </w:pPr>
    </w:p>
    <w:p w14:paraId="266E7900" w14:textId="2E1AEB4D" w:rsidR="00E74215" w:rsidRPr="00E74215" w:rsidRDefault="00985E5C" w:rsidP="00E74215">
      <w:r>
        <w:rPr>
          <w:rFonts w:hint="eastAsia"/>
        </w:rPr>
        <w:t>2．</w:t>
      </w:r>
      <w:r w:rsidR="00E74215" w:rsidRPr="00E74215">
        <w:t>ラプラスの式</w:t>
      </w:r>
    </w:p>
    <w:p w14:paraId="7724C312" w14:textId="0D1DC2F5" w:rsidR="00E74215" w:rsidRDefault="00985E5C" w:rsidP="00E74215">
      <w:r>
        <w:rPr>
          <w:rFonts w:hint="eastAsia"/>
        </w:rPr>
        <w:t>・</w:t>
      </w:r>
      <w:r w:rsidR="00E74215" w:rsidRPr="00E74215">
        <w:t>小滴や泡の場合、内外圧力差</w:t>
      </w:r>
      <m:oMath>
        <m:r>
          <m:rPr>
            <m:sty m:val="p"/>
          </m:rPr>
          <w:rPr>
            <w:rFonts w:ascii="Cambria Math" w:hAnsi="Cambria Math"/>
          </w:rPr>
          <m:t>Δ</m:t>
        </m:r>
        <m:r>
          <w:rPr>
            <w:rFonts w:ascii="Cambria Math" w:hAnsi="Cambria Math"/>
          </w:rPr>
          <m:t>P=</m:t>
        </m:r>
        <m:sSub>
          <m:sSubPr>
            <m:ctrlPr>
              <w:rPr>
                <w:rFonts w:ascii="Cambria Math" w:hAnsi="Cambria Math"/>
              </w:rPr>
            </m:ctrlPr>
          </m:sSubPr>
          <m:e>
            <m:r>
              <w:rPr>
                <w:rFonts w:ascii="Cambria Math" w:hAnsi="Cambria Math"/>
              </w:rPr>
              <m:t>P</m:t>
            </m:r>
          </m:e>
          <m:sub>
            <m:r>
              <m:rPr>
                <m:sty m:val="p"/>
              </m:rPr>
              <w:rPr>
                <w:rFonts w:ascii="Cambria Math" w:hAnsi="Cambria Math"/>
              </w:rPr>
              <m:t>in</m:t>
            </m:r>
          </m:sub>
        </m:sSub>
        <m: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out</m:t>
            </m:r>
          </m:sub>
        </m:sSub>
      </m:oMath>
      <w:r w:rsidR="00E74215" w:rsidRPr="00E74215">
        <w:t>は以下で表される</w:t>
      </w:r>
    </w:p>
    <w:p w14:paraId="52E4E5AF" w14:textId="1FCFE852" w:rsidR="00985E5C" w:rsidRPr="00E74215" w:rsidRDefault="00985E5C" w:rsidP="00E74215">
      <w:pPr>
        <w:rPr>
          <w:rFonts w:hint="eastAsia"/>
        </w:rPr>
      </w:pPr>
      <w:r>
        <w:rPr>
          <w:rFonts w:hint="eastAsia"/>
        </w:rPr>
        <w:t xml:space="preserve">　　　</w:t>
      </w:r>
      <m:oMath>
        <m:r>
          <m:rPr>
            <m:sty m:val="p"/>
          </m:rPr>
          <w:rPr>
            <w:rFonts w:ascii="Cambria Math" w:hAnsi="Cambria Math"/>
          </w:rPr>
          <m:t>Δ</m:t>
        </m:r>
        <m:r>
          <w:rPr>
            <w:rFonts w:ascii="Cambria Math" w:hAnsi="Cambria Math"/>
          </w:rPr>
          <m:t>P=</m:t>
        </m:r>
        <m:f>
          <m:fPr>
            <m:ctrlPr>
              <w:rPr>
                <w:rFonts w:ascii="Cambria Math" w:hAnsi="Cambria Math"/>
              </w:rPr>
            </m:ctrlPr>
          </m:fPr>
          <m:num>
            <m:r>
              <w:rPr>
                <w:rFonts w:ascii="Cambria Math" w:hAnsi="Cambria Math"/>
              </w:rPr>
              <m:t>2γ</m:t>
            </m:r>
          </m:num>
          <m:den>
            <m:r>
              <w:rPr>
                <w:rFonts w:ascii="Cambria Math" w:hAnsi="Cambria Math"/>
              </w:rPr>
              <m:t>r</m:t>
            </m:r>
          </m:den>
        </m:f>
      </m:oMath>
    </w:p>
    <w:p w14:paraId="585C9415" w14:textId="0B910607" w:rsidR="00E74215" w:rsidRDefault="00E74215" w:rsidP="00E74215">
      <w:r w:rsidRPr="00E74215">
        <w:t>ここで</w:t>
      </w:r>
      <m:oMath>
        <m:r>
          <w:rPr>
            <w:rFonts w:ascii="Cambria Math" w:hAnsi="Cambria Math"/>
          </w:rPr>
          <m:t>γ</m:t>
        </m:r>
      </m:oMath>
      <w:r w:rsidRPr="00E74215">
        <w:t>は曲率半径。曲率が小さいほど内外圧力差は大きくなる。</w:t>
      </w:r>
    </w:p>
    <w:p w14:paraId="690990FF" w14:textId="77777777" w:rsidR="0056687C" w:rsidRPr="00E74215" w:rsidRDefault="0056687C" w:rsidP="00E74215">
      <w:pPr>
        <w:rPr>
          <w:rFonts w:hint="eastAsia"/>
        </w:rPr>
      </w:pPr>
    </w:p>
    <w:p w14:paraId="72A9BDEC" w14:textId="78282013" w:rsidR="00E74215" w:rsidRPr="00E74215" w:rsidRDefault="0056687C" w:rsidP="00E74215">
      <w:r>
        <w:rPr>
          <w:rFonts w:hint="eastAsia"/>
        </w:rPr>
        <w:t>3．</w:t>
      </w:r>
      <w:r w:rsidR="00E74215" w:rsidRPr="00E74215">
        <w:t>ケルビンの式</w:t>
      </w:r>
    </w:p>
    <w:p w14:paraId="74E7EDD5" w14:textId="327C3F0D" w:rsidR="00E74215" w:rsidRDefault="00985E5C" w:rsidP="00E74215">
      <w:r>
        <w:rPr>
          <w:rFonts w:hint="eastAsia"/>
        </w:rPr>
        <w:t>・</w:t>
      </w:r>
      <w:r w:rsidR="00E74215" w:rsidRPr="00E74215">
        <w:t>曲率半径</w:t>
      </w:r>
      <m:oMath>
        <m:r>
          <w:rPr>
            <w:rFonts w:ascii="Cambria Math" w:hAnsi="Cambria Math"/>
          </w:rPr>
          <m:t>r</m:t>
        </m:r>
      </m:oMath>
      <w:r w:rsidR="00E74215" w:rsidRPr="00E74215">
        <w:t>を持つ液滴の蒸気圧は平坦な表面の場合より高くなる</w:t>
      </w:r>
    </w:p>
    <w:p w14:paraId="7F488B16" w14:textId="0A118707" w:rsidR="00985E5C" w:rsidRPr="00E74215" w:rsidRDefault="00985E5C" w:rsidP="00E74215">
      <w:pPr>
        <w:rPr>
          <w:rFonts w:hint="eastAsia"/>
        </w:rPr>
      </w:pPr>
      <w:r>
        <w:rPr>
          <w:rFonts w:hint="eastAsia"/>
        </w:rPr>
        <w:t xml:space="preserve">　　　</w:t>
      </w:r>
      <m:oMath>
        <m:r>
          <w:rPr>
            <w:rFonts w:ascii="Cambria Math" w:hAnsi="Cambria Math"/>
          </w:rPr>
          <m:t>P=</m:t>
        </m:r>
        <m:sSup>
          <m:sSupPr>
            <m:ctrlPr>
              <w:rPr>
                <w:rFonts w:ascii="Cambria Math" w:hAnsi="Cambria Math"/>
              </w:rPr>
            </m:ctrlPr>
          </m:sSupPr>
          <m:e>
            <m:r>
              <w:rPr>
                <w:rFonts w:ascii="Cambria Math" w:hAnsi="Cambria Math"/>
              </w:rPr>
              <m:t>P</m:t>
            </m:r>
          </m:e>
          <m:sup>
            <m:r>
              <w:rPr>
                <w:rFonts w:ascii="Cambria Math" w:hAnsi="Cambria Math"/>
              </w:rPr>
              <m:t>*</m:t>
            </m:r>
          </m:sup>
        </m:sSup>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2γ</m:t>
                </m:r>
                <m:sSub>
                  <m:sSubPr>
                    <m:ctrlPr>
                      <w:rPr>
                        <w:rFonts w:ascii="Cambria Math" w:hAnsi="Cambria Math"/>
                      </w:rPr>
                    </m:ctrlPr>
                  </m:sSubPr>
                  <m:e>
                    <m:r>
                      <w:rPr>
                        <w:rFonts w:ascii="Cambria Math" w:hAnsi="Cambria Math"/>
                      </w:rPr>
                      <m:t>V</m:t>
                    </m:r>
                  </m:e>
                  <m:sub>
                    <m:r>
                      <m:rPr>
                        <m:sty m:val="p"/>
                      </m:rPr>
                      <w:rPr>
                        <w:rFonts w:ascii="Cambria Math" w:hAnsi="Cambria Math"/>
                      </w:rPr>
                      <m:t>liquid</m:t>
                    </m:r>
                  </m:sub>
                </m:sSub>
              </m:num>
              <m:den>
                <m:r>
                  <w:rPr>
                    <w:rFonts w:ascii="Cambria Math" w:hAnsi="Cambria Math"/>
                  </w:rPr>
                  <m:t>rRT</m:t>
                </m:r>
              </m:den>
            </m:f>
          </m:sup>
        </m:sSup>
      </m:oMath>
    </w:p>
    <w:p w14:paraId="009C0230" w14:textId="2B6C9F27" w:rsidR="00E74215" w:rsidRDefault="00E74215" w:rsidP="00E74215">
      <w:r w:rsidRPr="00E74215">
        <w:t>ここで</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Pr="00E74215">
        <w:t>は平坦な液面での蒸気圧、</w:t>
      </w:r>
      <m:oMath>
        <m:sSub>
          <m:sSubPr>
            <m:ctrlPr>
              <w:rPr>
                <w:rFonts w:ascii="Cambria Math" w:hAnsi="Cambria Math"/>
                <w:i/>
              </w:rPr>
            </m:ctrlPr>
          </m:sSubPr>
          <m:e>
            <m:r>
              <w:rPr>
                <w:rFonts w:ascii="Cambria Math" w:hAnsi="Cambria Math"/>
              </w:rPr>
              <m:t>V</m:t>
            </m:r>
          </m:e>
          <m:sub>
            <m:r>
              <w:rPr>
                <w:rFonts w:ascii="Cambria Math" w:hAnsi="Cambria Math"/>
              </w:rPr>
              <m:t>liquid</m:t>
            </m:r>
          </m:sub>
        </m:sSub>
      </m:oMath>
      <w:r w:rsidRPr="00E74215">
        <w:t>はモル体積。</w:t>
      </w:r>
    </w:p>
    <w:p w14:paraId="0B845B7A" w14:textId="77777777" w:rsidR="0056687C" w:rsidRPr="00E74215" w:rsidRDefault="0056687C" w:rsidP="00E74215">
      <w:pPr>
        <w:rPr>
          <w:rFonts w:hint="eastAsia"/>
        </w:rPr>
      </w:pPr>
    </w:p>
    <w:p w14:paraId="7C0C9E03" w14:textId="0952D27C" w:rsidR="00E74215" w:rsidRPr="00E74215" w:rsidRDefault="0056687C" w:rsidP="00E74215">
      <w:r>
        <w:rPr>
          <w:rFonts w:hint="eastAsia"/>
        </w:rPr>
        <w:t>4．</w:t>
      </w:r>
      <w:r w:rsidR="00E74215" w:rsidRPr="00E74215">
        <w:t>毛管現象</w:t>
      </w:r>
    </w:p>
    <w:p w14:paraId="0B16CA3C" w14:textId="271D6221" w:rsidR="00E74215" w:rsidRDefault="0056687C" w:rsidP="00E74215">
      <w:r>
        <w:rPr>
          <w:rFonts w:hint="eastAsia"/>
        </w:rPr>
        <w:t>・</w:t>
      </w:r>
      <w:r w:rsidR="00E74215" w:rsidRPr="00E74215">
        <w:t>半球形メニスカスを持つ毛管中の液体の高さ</w:t>
      </w:r>
      <m:oMath>
        <m:r>
          <w:rPr>
            <w:rFonts w:ascii="Cambria Math" w:hAnsi="Cambria Math"/>
          </w:rPr>
          <m:t>h</m:t>
        </m:r>
      </m:oMath>
      <w:r w:rsidR="00E74215" w:rsidRPr="00E74215">
        <w:t>は次式で与えられる</w:t>
      </w:r>
    </w:p>
    <w:p w14:paraId="16153706" w14:textId="4074E386" w:rsidR="0056687C" w:rsidRPr="00E74215" w:rsidRDefault="0056687C" w:rsidP="00E74215">
      <w:pPr>
        <w:rPr>
          <w:rFonts w:hint="eastAsia"/>
        </w:rPr>
      </w:pPr>
      <w:r>
        <w:rPr>
          <w:rFonts w:hint="eastAsia"/>
        </w:rPr>
        <w:t xml:space="preserve">　　　</w:t>
      </w:r>
      <m:oMath>
        <m:r>
          <w:rPr>
            <w:rFonts w:ascii="Cambria Math" w:hAnsi="Cambria Math"/>
          </w:rPr>
          <m:t>h=</m:t>
        </m:r>
        <m:f>
          <m:fPr>
            <m:ctrlPr>
              <w:rPr>
                <w:rFonts w:ascii="Cambria Math" w:hAnsi="Cambria Math"/>
              </w:rPr>
            </m:ctrlPr>
          </m:fPr>
          <m:num>
            <m:r>
              <w:rPr>
                <w:rFonts w:ascii="Cambria Math" w:hAnsi="Cambria Math"/>
              </w:rPr>
              <m:t>2γ</m:t>
            </m:r>
          </m:num>
          <m:den>
            <m:r>
              <w:rPr>
                <w:rFonts w:ascii="Cambria Math" w:hAnsi="Cambria Math"/>
              </w:rPr>
              <m:t>ρgr</m:t>
            </m:r>
          </m:den>
        </m:f>
      </m:oMath>
    </w:p>
    <w:p w14:paraId="04592975" w14:textId="6C38E1BA" w:rsidR="00E74215" w:rsidRDefault="00E74215" w:rsidP="00E74215">
      <w:r w:rsidRPr="00E74215">
        <w:t>ここで</w:t>
      </w:r>
      <m:oMath>
        <m:r>
          <w:rPr>
            <w:rFonts w:ascii="Cambria Math" w:hAnsi="Cambria Math"/>
          </w:rPr>
          <m:t>ρ</m:t>
        </m:r>
      </m:oMath>
      <w:r w:rsidRPr="00E74215">
        <w:t>は液体の密度、</w:t>
      </w:r>
      <m:oMath>
        <m:r>
          <w:rPr>
            <w:rFonts w:ascii="Cambria Math" w:hAnsi="Cambria Math"/>
          </w:rPr>
          <m:t>g</m:t>
        </m:r>
      </m:oMath>
      <w:r w:rsidRPr="00E74215">
        <w:t>は重力加速度、</w:t>
      </w:r>
      <m:oMath>
        <m:r>
          <w:rPr>
            <w:rFonts w:ascii="Cambria Math" w:hAnsi="Cambria Math"/>
          </w:rPr>
          <m:t>r</m:t>
        </m:r>
      </m:oMath>
      <w:r w:rsidRPr="00E74215">
        <w:t>は毛管の半径。</w:t>
      </w:r>
    </w:p>
    <w:p w14:paraId="33B25DD6" w14:textId="77777777" w:rsidR="0056687C" w:rsidRPr="00E74215" w:rsidRDefault="0056687C" w:rsidP="00E74215">
      <w:pPr>
        <w:rPr>
          <w:rFonts w:hint="eastAsia"/>
        </w:rPr>
      </w:pPr>
    </w:p>
    <w:p w14:paraId="6B980FD2" w14:textId="50D793B3" w:rsidR="00E74215" w:rsidRPr="00E74215" w:rsidRDefault="0056687C" w:rsidP="00E74215">
      <w:r>
        <w:rPr>
          <w:rFonts w:hint="eastAsia"/>
        </w:rPr>
        <w:t>5．</w:t>
      </w:r>
      <w:r w:rsidR="00E74215" w:rsidRPr="00E74215">
        <w:t>接触角と表面張力</w:t>
      </w:r>
    </w:p>
    <w:p w14:paraId="43A3CC79" w14:textId="1E47A9EB" w:rsidR="00E74215" w:rsidRDefault="0056687C" w:rsidP="00E74215">
      <w:r>
        <w:rPr>
          <w:rFonts w:hint="eastAsia"/>
        </w:rPr>
        <w:t>・</w:t>
      </w:r>
      <w:r w:rsidR="00E74215" w:rsidRPr="00E74215">
        <w:t>接触角</w:t>
      </w:r>
      <m:oMath>
        <m:sSub>
          <m:sSubPr>
            <m:ctrlPr>
              <w:rPr>
                <w:rFonts w:ascii="Cambria Math" w:hAnsi="Cambria Math"/>
                <w:i/>
              </w:rPr>
            </m:ctrlPr>
          </m:sSubPr>
          <m:e>
            <m:r>
              <w:rPr>
                <w:rFonts w:ascii="Cambria Math" w:hAnsi="Cambria Math"/>
              </w:rPr>
              <m:t>θ</m:t>
            </m:r>
          </m:e>
          <m:sub>
            <m:r>
              <w:rPr>
                <w:rFonts w:ascii="Cambria Math" w:hAnsi="Cambria Math"/>
              </w:rPr>
              <m:t>C</m:t>
            </m:r>
          </m:sub>
        </m:sSub>
      </m:oMath>
      <w:r w:rsidR="00E74215" w:rsidRPr="00E74215">
        <w:t>を用いたヤングの式</w:t>
      </w:r>
    </w:p>
    <w:p w14:paraId="13334B4F" w14:textId="2F8F0F38" w:rsidR="0056687C" w:rsidRDefault="0056687C" w:rsidP="00E74215">
      <w:r>
        <w:rPr>
          <w:rFonts w:hint="eastAsia"/>
        </w:rPr>
        <w:t xml:space="preserve">　　　</w:t>
      </w:r>
      <m:oMath>
        <m:sSub>
          <m:sSubPr>
            <m:ctrlPr>
              <w:rPr>
                <w:rFonts w:ascii="Cambria Math" w:hAnsi="Cambria Math"/>
              </w:rPr>
            </m:ctrlPr>
          </m:sSubPr>
          <m:e>
            <m:r>
              <w:rPr>
                <w:rFonts w:ascii="Cambria Math" w:hAnsi="Cambria Math"/>
              </w:rPr>
              <m:t>γ</m:t>
            </m:r>
          </m:e>
          <m:sub>
            <m:r>
              <m:rPr>
                <m:nor/>
              </m:rPr>
              <m:t>liquid-gas</m:t>
            </m:r>
          </m:sub>
        </m:sSub>
        <m:r>
          <m:rPr>
            <m:sty m:val="p"/>
          </m:rPr>
          <w:rPr>
            <w:rFonts w:ascii="Cambria Math" w:hAnsi="Cambria Math"/>
          </w:rPr>
          <m:t>cos</m:t>
        </m:r>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γ</m:t>
            </m:r>
          </m:e>
          <m:sub>
            <m:r>
              <m:rPr>
                <m:sty m:val="p"/>
              </m:rPr>
              <w:rPr>
                <w:rFonts w:ascii="Cambria Math" w:hAnsi="Cambria Math"/>
              </w:rPr>
              <m:t>solid</m:t>
            </m:r>
            <m:r>
              <w:rPr>
                <w:rFonts w:ascii="Cambria Math" w:hAnsi="Cambria Math"/>
              </w:rPr>
              <m:t>-</m:t>
            </m:r>
            <m:r>
              <m:rPr>
                <m:sty m:val="p"/>
              </m:rPr>
              <w:rPr>
                <w:rFonts w:ascii="Cambria Math" w:hAnsi="Cambria Math"/>
              </w:rPr>
              <m:t>gas</m:t>
            </m:r>
          </m:sub>
        </m:sSub>
        <m:r>
          <w:rPr>
            <w:rFonts w:ascii="Cambria Math" w:hAnsi="Cambria Math"/>
          </w:rPr>
          <m:t>-</m:t>
        </m:r>
        <m:sSub>
          <m:sSubPr>
            <m:ctrlPr>
              <w:rPr>
                <w:rFonts w:ascii="Cambria Math" w:hAnsi="Cambria Math"/>
              </w:rPr>
            </m:ctrlPr>
          </m:sSubPr>
          <m:e>
            <m:r>
              <w:rPr>
                <w:rFonts w:ascii="Cambria Math" w:hAnsi="Cambria Math"/>
              </w:rPr>
              <m:t>γ</m:t>
            </m:r>
          </m:e>
          <m:sub>
            <m:r>
              <m:rPr>
                <m:nor/>
              </m:rPr>
              <m:t>solid-liquid</m:t>
            </m:r>
          </m:sub>
        </m:sSub>
        <m:r>
          <w:rPr>
            <w:rFonts w:ascii="Cambria Math" w:hAnsi="Cambria Math"/>
          </w:rPr>
          <m:t>.</m:t>
        </m:r>
      </m:oMath>
    </w:p>
    <w:p w14:paraId="4DDC8BDF" w14:textId="77777777" w:rsidR="0056687C" w:rsidRPr="00E74215" w:rsidRDefault="0056687C" w:rsidP="00E74215">
      <w:pPr>
        <w:rPr>
          <w:rFonts w:hint="eastAsia"/>
        </w:rPr>
      </w:pPr>
    </w:p>
    <w:p w14:paraId="7DE8080F" w14:textId="66337DA7" w:rsidR="00E74215" w:rsidRDefault="0056687C" w:rsidP="00E74215">
      <w:r>
        <w:rPr>
          <w:rFonts w:hint="eastAsia"/>
        </w:rPr>
        <w:t>・</w:t>
      </w:r>
      <m:oMath>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C</m:t>
            </m:r>
          </m:sub>
        </m:sSub>
      </m:oMath>
      <w:r w:rsidR="00E74215" w:rsidRPr="00E74215">
        <w:t>によって液体が固体表面をどれだけ濡らすかが決まる。</w:t>
      </w:r>
    </w:p>
    <w:p w14:paraId="012D2745" w14:textId="77777777" w:rsidR="0056687C" w:rsidRPr="00E74215" w:rsidRDefault="0056687C" w:rsidP="00E74215">
      <w:pPr>
        <w:rPr>
          <w:rFonts w:hint="eastAsia"/>
        </w:rPr>
      </w:pPr>
    </w:p>
    <w:p w14:paraId="498A19F0" w14:textId="237DD404" w:rsidR="00E74215" w:rsidRPr="00E74215" w:rsidRDefault="0056687C" w:rsidP="00E74215">
      <w:r>
        <w:rPr>
          <w:rFonts w:hint="eastAsia"/>
        </w:rPr>
        <w:t>6．</w:t>
      </w:r>
      <w:r w:rsidR="00E74215" w:rsidRPr="00E74215">
        <w:t>実用例</w:t>
      </w:r>
    </w:p>
    <w:p w14:paraId="39D06072" w14:textId="393A3DF6" w:rsidR="0056687C" w:rsidRDefault="00E74215" w:rsidP="0056687C">
      <w:pPr>
        <w:numPr>
          <w:ilvl w:val="0"/>
          <w:numId w:val="1"/>
        </w:numPr>
      </w:pPr>
      <w:r w:rsidRPr="00E74215">
        <w:t>アメンボや鉄針が水に浮く理由は表面張力による支持力が物体の重力を支えるため。</w:t>
      </w:r>
    </w:p>
    <w:p w14:paraId="4E8F9D3C" w14:textId="77777777" w:rsidR="0056687C" w:rsidRPr="00E74215" w:rsidRDefault="0056687C" w:rsidP="0056687C">
      <w:pPr>
        <w:rPr>
          <w:rFonts w:hint="eastAsia"/>
        </w:rPr>
      </w:pPr>
    </w:p>
    <w:p w14:paraId="16D74802" w14:textId="77777777" w:rsidR="00E74215" w:rsidRPr="00E74215" w:rsidRDefault="00E74215" w:rsidP="00E74215">
      <w:pPr>
        <w:numPr>
          <w:ilvl w:val="0"/>
          <w:numId w:val="1"/>
        </w:numPr>
      </w:pPr>
      <w:r w:rsidRPr="00E74215">
        <w:t>表面張力が崩れると、液体表面が形状を変え、物体は沈む。</w:t>
      </w:r>
    </w:p>
    <w:p w14:paraId="59A59B01" w14:textId="77777777" w:rsidR="00E74215" w:rsidRPr="00E74215" w:rsidRDefault="00E74215"/>
    <w:sectPr w:rsidR="00E74215" w:rsidRPr="00E74215" w:rsidSect="00E74215">
      <w:headerReference w:type="default" r:id="rId7"/>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A5CA90" w14:textId="77777777" w:rsidR="00EF30C4" w:rsidRDefault="00EF30C4" w:rsidP="00E74215">
      <w:r>
        <w:separator/>
      </w:r>
    </w:p>
  </w:endnote>
  <w:endnote w:type="continuationSeparator" w:id="0">
    <w:p w14:paraId="143C7C1D" w14:textId="77777777" w:rsidR="00EF30C4" w:rsidRDefault="00EF30C4" w:rsidP="00E74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5BDBD8" w14:textId="77777777" w:rsidR="00EF30C4" w:rsidRDefault="00EF30C4" w:rsidP="00E74215">
      <w:r>
        <w:separator/>
      </w:r>
    </w:p>
  </w:footnote>
  <w:footnote w:type="continuationSeparator" w:id="0">
    <w:p w14:paraId="7A89BD83" w14:textId="77777777" w:rsidR="00EF30C4" w:rsidRDefault="00EF30C4" w:rsidP="00E742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EAF8FD" w14:textId="2BAE86E3" w:rsidR="00E74215" w:rsidRDefault="00E74215">
    <w:pPr>
      <w:pStyle w:val="aa"/>
    </w:pPr>
    <w:r>
      <w:rPr>
        <w:rFonts w:hint="eastAsia"/>
      </w:rPr>
      <w:t>8223036　栗山淳</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745E4F"/>
    <w:multiLevelType w:val="multilevel"/>
    <w:tmpl w:val="AD18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6925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215"/>
    <w:rsid w:val="001A4002"/>
    <w:rsid w:val="00254672"/>
    <w:rsid w:val="003C0464"/>
    <w:rsid w:val="00534362"/>
    <w:rsid w:val="0056687C"/>
    <w:rsid w:val="005A5EB7"/>
    <w:rsid w:val="006779FA"/>
    <w:rsid w:val="007E6955"/>
    <w:rsid w:val="007F2547"/>
    <w:rsid w:val="00806511"/>
    <w:rsid w:val="00865922"/>
    <w:rsid w:val="00985E5C"/>
    <w:rsid w:val="00D646E5"/>
    <w:rsid w:val="00E74215"/>
    <w:rsid w:val="00E76492"/>
    <w:rsid w:val="00EF30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E881B4A"/>
  <w15:chartTrackingRefBased/>
  <w15:docId w15:val="{91301B33-4E2A-42D3-9CBE-6525EFD1B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7421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E7421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E74215"/>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E7421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7421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7421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7421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7421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7421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74215"/>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E74215"/>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E74215"/>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E74215"/>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74215"/>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74215"/>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74215"/>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74215"/>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74215"/>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7421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7421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7421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7421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74215"/>
    <w:pPr>
      <w:spacing w:before="160" w:after="160"/>
      <w:jc w:val="center"/>
    </w:pPr>
    <w:rPr>
      <w:i/>
      <w:iCs/>
      <w:color w:val="404040" w:themeColor="text1" w:themeTint="BF"/>
    </w:rPr>
  </w:style>
  <w:style w:type="character" w:customStyle="1" w:styleId="a8">
    <w:name w:val="引用文 (文字)"/>
    <w:basedOn w:val="a0"/>
    <w:link w:val="a7"/>
    <w:uiPriority w:val="29"/>
    <w:rsid w:val="00E74215"/>
    <w:rPr>
      <w:i/>
      <w:iCs/>
      <w:color w:val="404040" w:themeColor="text1" w:themeTint="BF"/>
    </w:rPr>
  </w:style>
  <w:style w:type="paragraph" w:styleId="a9">
    <w:name w:val="List Paragraph"/>
    <w:basedOn w:val="a"/>
    <w:uiPriority w:val="34"/>
    <w:qFormat/>
    <w:rsid w:val="00E74215"/>
    <w:pPr>
      <w:ind w:left="720"/>
      <w:contextualSpacing/>
    </w:pPr>
  </w:style>
  <w:style w:type="character" w:styleId="21">
    <w:name w:val="Intense Emphasis"/>
    <w:basedOn w:val="a0"/>
    <w:uiPriority w:val="21"/>
    <w:qFormat/>
    <w:rsid w:val="00E74215"/>
    <w:rPr>
      <w:i/>
      <w:iCs/>
      <w:color w:val="0F4761" w:themeColor="accent1" w:themeShade="BF"/>
    </w:rPr>
  </w:style>
  <w:style w:type="paragraph" w:styleId="22">
    <w:name w:val="Intense Quote"/>
    <w:basedOn w:val="a"/>
    <w:next w:val="a"/>
    <w:link w:val="23"/>
    <w:uiPriority w:val="30"/>
    <w:qFormat/>
    <w:rsid w:val="00E742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74215"/>
    <w:rPr>
      <w:i/>
      <w:iCs/>
      <w:color w:val="0F4761" w:themeColor="accent1" w:themeShade="BF"/>
    </w:rPr>
  </w:style>
  <w:style w:type="character" w:styleId="24">
    <w:name w:val="Intense Reference"/>
    <w:basedOn w:val="a0"/>
    <w:uiPriority w:val="32"/>
    <w:qFormat/>
    <w:rsid w:val="00E74215"/>
    <w:rPr>
      <w:b/>
      <w:bCs/>
      <w:smallCaps/>
      <w:color w:val="0F4761" w:themeColor="accent1" w:themeShade="BF"/>
      <w:spacing w:val="5"/>
    </w:rPr>
  </w:style>
  <w:style w:type="paragraph" w:styleId="aa">
    <w:name w:val="header"/>
    <w:basedOn w:val="a"/>
    <w:link w:val="ab"/>
    <w:uiPriority w:val="99"/>
    <w:unhideWhenUsed/>
    <w:rsid w:val="00E74215"/>
    <w:pPr>
      <w:tabs>
        <w:tab w:val="center" w:pos="4252"/>
        <w:tab w:val="right" w:pos="8504"/>
      </w:tabs>
      <w:snapToGrid w:val="0"/>
    </w:pPr>
  </w:style>
  <w:style w:type="character" w:customStyle="1" w:styleId="ab">
    <w:name w:val="ヘッダー (文字)"/>
    <w:basedOn w:val="a0"/>
    <w:link w:val="aa"/>
    <w:uiPriority w:val="99"/>
    <w:rsid w:val="00E74215"/>
  </w:style>
  <w:style w:type="paragraph" w:styleId="ac">
    <w:name w:val="footer"/>
    <w:basedOn w:val="a"/>
    <w:link w:val="ad"/>
    <w:uiPriority w:val="99"/>
    <w:unhideWhenUsed/>
    <w:rsid w:val="00E74215"/>
    <w:pPr>
      <w:tabs>
        <w:tab w:val="center" w:pos="4252"/>
        <w:tab w:val="right" w:pos="8504"/>
      </w:tabs>
      <w:snapToGrid w:val="0"/>
    </w:pPr>
  </w:style>
  <w:style w:type="character" w:customStyle="1" w:styleId="ad">
    <w:name w:val="フッター (文字)"/>
    <w:basedOn w:val="a0"/>
    <w:link w:val="ac"/>
    <w:uiPriority w:val="99"/>
    <w:rsid w:val="00E74215"/>
  </w:style>
  <w:style w:type="character" w:styleId="ae">
    <w:name w:val="Placeholder Text"/>
    <w:basedOn w:val="a0"/>
    <w:uiPriority w:val="99"/>
    <w:semiHidden/>
    <w:rsid w:val="00985E5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4830615">
      <w:bodyDiv w:val="1"/>
      <w:marLeft w:val="0"/>
      <w:marRight w:val="0"/>
      <w:marTop w:val="0"/>
      <w:marBottom w:val="0"/>
      <w:divBdr>
        <w:top w:val="none" w:sz="0" w:space="0" w:color="auto"/>
        <w:left w:val="none" w:sz="0" w:space="0" w:color="auto"/>
        <w:bottom w:val="none" w:sz="0" w:space="0" w:color="auto"/>
        <w:right w:val="none" w:sz="0" w:space="0" w:color="auto"/>
      </w:divBdr>
    </w:div>
    <w:div w:id="206486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110</Words>
  <Characters>628</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2</cp:revision>
  <dcterms:created xsi:type="dcterms:W3CDTF">2024-12-28T12:50:00Z</dcterms:created>
  <dcterms:modified xsi:type="dcterms:W3CDTF">2024-12-29T00:37:00Z</dcterms:modified>
</cp:coreProperties>
</file>