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56BFE" w14:textId="3C44CF6B" w:rsidR="00534362" w:rsidRDefault="00E04784">
      <w:r>
        <w:rPr>
          <w:rFonts w:hint="eastAsia"/>
        </w:rPr>
        <w:t>8223036　栗山淳</w:t>
      </w:r>
    </w:p>
    <w:p w14:paraId="4BC1532C" w14:textId="00912278" w:rsidR="00E04784" w:rsidRDefault="00E04784">
      <w:r>
        <w:rPr>
          <w:rFonts w:hint="eastAsia"/>
        </w:rPr>
        <w:t>エレクトロニクス材料学　第11回　課題</w:t>
      </w:r>
    </w:p>
    <w:p w14:paraId="7648CB39" w14:textId="77777777" w:rsidR="00E04784" w:rsidRDefault="00E04784"/>
    <w:p w14:paraId="33DEDFEA" w14:textId="183461ED" w:rsidR="00E04784" w:rsidRDefault="00E04784">
      <w:r>
        <w:rPr>
          <w:rFonts w:hint="eastAsia"/>
        </w:rPr>
        <w:t>１．不純物半導体の真性領域，出払い領域，不純物領域について説明してください</w:t>
      </w:r>
    </w:p>
    <w:p w14:paraId="3284DAEF" w14:textId="77777777" w:rsidR="00E04784" w:rsidRDefault="00E04784"/>
    <w:p w14:paraId="33BF94A5" w14:textId="43753D40" w:rsidR="00151F48" w:rsidRDefault="00151F48">
      <w:r>
        <w:rPr>
          <w:rFonts w:hint="eastAsia"/>
        </w:rPr>
        <w:t>真性領域とは</w:t>
      </w:r>
      <w:r w:rsidR="00D93586">
        <w:rPr>
          <w:rFonts w:hint="eastAsia"/>
        </w:rPr>
        <w:t>温度が十分高くなることで，半導体内部に存在する不純物のキャリアの寄与よりも，熱によって生成される電子と正孔の数が支配的になる領域のことである。この領域では不純物が添加されていたとしても，その影響はほとんど無視できるほど真性キャリアが多くなり，結果的に半導体は真性半導体と同じような性質を示す。</w:t>
      </w:r>
    </w:p>
    <w:p w14:paraId="4F3E5416" w14:textId="76F06EB0" w:rsidR="00D93586" w:rsidRDefault="00D93586">
      <w:r>
        <w:rPr>
          <w:rFonts w:hint="eastAsia"/>
        </w:rPr>
        <w:t>出払い領域</w:t>
      </w:r>
      <w:r w:rsidR="00A23B02">
        <w:rPr>
          <w:rFonts w:hint="eastAsia"/>
        </w:rPr>
        <w:t>は低温の場合で</w:t>
      </w:r>
      <w:r w:rsidR="00694D68">
        <w:rPr>
          <w:rFonts w:hint="eastAsia"/>
        </w:rPr>
        <w:t>，ドナー準位にある電子は伝導帯に出尽くすが，価電子帯の電子はまだ伝導帯に励起するだけのエネルギーを受け取ることができない。この領域では電子濃度は温度に関わらず一定となる。</w:t>
      </w:r>
    </w:p>
    <w:p w14:paraId="3081E539" w14:textId="3832BBE4" w:rsidR="00694D68" w:rsidRDefault="00694D68">
      <w:r>
        <w:rPr>
          <w:rFonts w:hint="eastAsia"/>
        </w:rPr>
        <w:t>不純物領域は</w:t>
      </w:r>
      <w:r w:rsidR="00A23B02">
        <w:rPr>
          <w:rFonts w:hint="eastAsia"/>
        </w:rPr>
        <w:t>極</w:t>
      </w:r>
      <w:r>
        <w:rPr>
          <w:rFonts w:hint="eastAsia"/>
        </w:rPr>
        <w:t>低温の場合で，価電子帯に比べて伝導帯の準位に近いドナー準位になる電子が伝導帯へ励起される。しかし価電子帯の電子は伝導帯に励起するだけのエネルギーを受け取ることができないので励起しない。この領域では電子</w:t>
      </w:r>
      <w:r w:rsidR="00026421">
        <w:rPr>
          <w:rFonts w:hint="eastAsia"/>
        </w:rPr>
        <w:t>濃度</w:t>
      </w:r>
      <w:r>
        <w:rPr>
          <w:rFonts w:hint="eastAsia"/>
        </w:rPr>
        <w:t>の対数を取った値は温度の逆数に比例し，温度上昇によって伝導帯に熱励起される電子の数が増加する。</w:t>
      </w:r>
    </w:p>
    <w:p w14:paraId="2AFABFBE" w14:textId="77777777" w:rsidR="00694D68" w:rsidRDefault="00694D68"/>
    <w:p w14:paraId="182F1001" w14:textId="17182720" w:rsidR="00E04784" w:rsidRDefault="00E04784">
      <w:r>
        <w:rPr>
          <w:rFonts w:hint="eastAsia"/>
        </w:rPr>
        <w:t>2．不純物</w:t>
      </w:r>
      <w:r w:rsidR="009F67CE">
        <w:rPr>
          <w:rFonts w:hint="eastAsia"/>
        </w:rPr>
        <w:t>領域にあるp型半導体の正孔濃度pをボルツマン定数，プランク定数，正孔有効質量，温度，アクセプタの活性化エネルギーなどを用いて表してください。</w:t>
      </w:r>
    </w:p>
    <w:p w14:paraId="79653AC8" w14:textId="77777777" w:rsidR="00694D68" w:rsidRDefault="00694D68"/>
    <w:p w14:paraId="18CDFBB5" w14:textId="594AFA11" w:rsidR="009F67CE" w:rsidRPr="00995CD8" w:rsidRDefault="00995CD8">
      <m:oMathPara>
        <m:oMath>
          <m:r>
            <w:rPr>
              <w:rFonts w:ascii="Cambria Math" w:hAnsi="Cambria Math"/>
            </w:rPr>
            <m:t>p≈</m:t>
          </m:r>
          <m:r>
            <w:rPr>
              <w:rFonts w:ascii="Cambria Math" w:hAnsi="Cambria Math" w:hint="eastAsia"/>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sSubSup>
                        <m:sSubSupPr>
                          <m:ctrlPr>
                            <w:rPr>
                              <w:rFonts w:ascii="Cambria Math" w:hAnsi="Cambria Math"/>
                              <w:i/>
                            </w:rPr>
                          </m:ctrlPr>
                        </m:sSubSupPr>
                        <m:e>
                          <m:r>
                            <w:rPr>
                              <w:rFonts w:ascii="Cambria Math" w:hAnsi="Cambria Math"/>
                            </w:rPr>
                            <m:t>m</m:t>
                          </m:r>
                        </m:e>
                        <m:sub>
                          <m:r>
                            <w:rPr>
                              <w:rFonts w:ascii="Cambria Math" w:hAnsi="Cambria Math"/>
                            </w:rPr>
                            <m:t>h</m:t>
                          </m:r>
                        </m:sub>
                        <m:sup>
                          <m:r>
                            <w:rPr>
                              <w:rFonts w:ascii="Cambria Math" w:hAnsi="Cambria Math"/>
                            </w:rPr>
                            <m:t>*</m:t>
                          </m:r>
                        </m:sup>
                      </m:sSubSup>
                      <m:sSub>
                        <m:sSubPr>
                          <m:ctrlPr>
                            <w:rPr>
                              <w:rFonts w:ascii="Cambria Math" w:hAnsi="Cambria Math"/>
                              <w:i/>
                            </w:rPr>
                          </m:ctrlPr>
                        </m:sSubPr>
                        <m:e>
                          <m:r>
                            <w:rPr>
                              <w:rFonts w:ascii="Cambria Math" w:hAnsi="Cambria Math"/>
                            </w:rPr>
                            <m:t>k</m:t>
                          </m:r>
                        </m:e>
                        <m:sub>
                          <m:r>
                            <w:rPr>
                              <w:rFonts w:ascii="Cambria Math" w:hAnsi="Cambria Math"/>
                            </w:rPr>
                            <m:t>B</m:t>
                          </m:r>
                        </m:sub>
                      </m:sSub>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f>
                <m:fPr>
                  <m:ctrlPr>
                    <w:rPr>
                      <w:rFonts w:ascii="Cambria Math" w:hAnsi="Cambria Math"/>
                      <w:i/>
                    </w:rPr>
                  </m:ctrlPr>
                </m:fPr>
                <m:num>
                  <m:r>
                    <w:rPr>
                      <w:rFonts w:ascii="Cambria Math" w:hAnsi="Cambria Math"/>
                    </w:rPr>
                    <m:t>3</m:t>
                  </m:r>
                </m:num>
                <m:den>
                  <m:r>
                    <w:rPr>
                      <w:rFonts w:ascii="Cambria Math" w:hAnsi="Cambria Math" w:hint="eastAsia"/>
                    </w:rPr>
                    <m:t>2</m:t>
                  </m:r>
                </m:den>
              </m:f>
            </m:sup>
          </m:sSup>
          <m:sSup>
            <m:sSupPr>
              <m:ctrlPr>
                <w:rPr>
                  <w:rFonts w:ascii="Cambria Math" w:hAnsi="Cambria Math"/>
                  <w:i/>
                </w:rPr>
              </m:ctrlPr>
            </m:sSupPr>
            <m:e>
              <m:r>
                <w:rPr>
                  <w:rFonts w:ascii="Cambria Math" w:hAnsi="Cambria Math"/>
                </w:rPr>
                <m:t>T</m:t>
              </m:r>
            </m:e>
            <m:sup>
              <m:f>
                <m:fPr>
                  <m:ctrlPr>
                    <w:rPr>
                      <w:rFonts w:ascii="Cambria Math" w:hAnsi="Cambria Math"/>
                      <w:i/>
                    </w:rPr>
                  </m:ctrlPr>
                </m:fPr>
                <m:num>
                  <m:r>
                    <w:rPr>
                      <w:rFonts w:ascii="Cambria Math" w:hAnsi="Cambria Math"/>
                    </w:rPr>
                    <m:t>3</m:t>
                  </m:r>
                </m:num>
                <m:den>
                  <m:r>
                    <w:rPr>
                      <w:rFonts w:ascii="Cambria Math" w:hAnsi="Cambria Math" w:hint="eastAsia"/>
                    </w:rPr>
                    <m:t>2</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oMath>
      </m:oMathPara>
    </w:p>
    <w:p w14:paraId="0D1C578A" w14:textId="77777777" w:rsidR="00995CD8" w:rsidRDefault="00995CD8"/>
    <w:p w14:paraId="33B19A0E" w14:textId="78B43055" w:rsidR="009F67CE" w:rsidRDefault="009F67CE">
      <w:r>
        <w:rPr>
          <w:rFonts w:hint="eastAsia"/>
        </w:rPr>
        <w:t>3．p型半導体のアクセプタ活性化エネルギーはどのように求めることができるか考えてください</w:t>
      </w:r>
    </w:p>
    <w:p w14:paraId="5F172D45" w14:textId="77777777" w:rsidR="009F67CE" w:rsidRDefault="009F67CE"/>
    <w:p w14:paraId="794707A4" w14:textId="25AFA30B" w:rsidR="00026421" w:rsidRDefault="00026421">
      <w:r>
        <w:rPr>
          <w:rFonts w:hint="eastAsia"/>
        </w:rPr>
        <w:t>2の式より以下のことが成り立つ</w:t>
      </w:r>
    </w:p>
    <w:p w14:paraId="71980ECE" w14:textId="7273107A" w:rsidR="00026421" w:rsidRPr="00026421" w:rsidRDefault="00026421">
      <m:oMathPara>
        <m:oMath>
          <m: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oMath>
      </m:oMathPara>
    </w:p>
    <w:p w14:paraId="46F04133" w14:textId="4075DADC" w:rsidR="00026421" w:rsidRDefault="00026421">
      <w:r>
        <w:rPr>
          <w:rFonts w:hint="eastAsia"/>
        </w:rPr>
        <w:t>この式を変形すると</w:t>
      </w:r>
    </w:p>
    <w:p w14:paraId="094144B1" w14:textId="482714BD" w:rsidR="00026421" w:rsidRPr="00026421" w:rsidRDefault="00000000">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m:t>
                  </m:r>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B</m:t>
                  </m:r>
                </m:sub>
              </m:sSub>
            </m:den>
          </m:f>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3F992229" w14:textId="5A4911BD" w:rsidR="00026421" w:rsidRPr="00026421" w:rsidRDefault="00000000">
      <m:oMath>
        <m:sSub>
          <m:sSubPr>
            <m:ctrlPr>
              <w:rPr>
                <w:rFonts w:ascii="Cambria Math" w:hAnsi="Cambria Math"/>
                <w:i/>
              </w:rPr>
            </m:ctrlPr>
          </m:sSubPr>
          <m:e>
            <m:r>
              <w:rPr>
                <w:rFonts w:ascii="Cambria Math" w:hAnsi="Cambria Math"/>
              </w:rPr>
              <m:t>k</m:t>
            </m:r>
          </m:e>
          <m:sub>
            <m:r>
              <w:rPr>
                <w:rFonts w:ascii="Cambria Math" w:hAnsi="Cambria Math"/>
              </w:rPr>
              <m:t>B</m:t>
            </m:r>
          </m:sub>
        </m:sSub>
      </m:oMath>
      <w:r w:rsidR="00026421">
        <w:rPr>
          <w:rFonts w:hint="eastAsia"/>
        </w:rPr>
        <w:t>はボルツマン定数より，</w:t>
      </w:r>
      <m:oMath>
        <m:r>
          <m:rPr>
            <m:sty m:val="p"/>
          </m:rPr>
          <w:rPr>
            <w:rFonts w:ascii="Cambria Math" w:hAnsi="Cambria Math"/>
          </w:rPr>
          <m:t>ln⁡</m:t>
        </m:r>
        <m:r>
          <w:rPr>
            <w:rFonts w:ascii="Cambria Math" w:hAnsi="Cambria Math"/>
          </w:rPr>
          <m:t>(p)</m:t>
        </m:r>
      </m:oMath>
      <w:r w:rsidR="00026421">
        <w:rPr>
          <w:rFonts w:hint="eastAsia"/>
        </w:rPr>
        <w:t>は温度の逆数に比例することが分かる。これより，p型半導体の正孔濃度(導電性)の対数と温度の逆数の関係をグラフで表すと直線の形となり，その傾きからアクセプタ活性化エネルギーを求めることができる。</w:t>
      </w:r>
    </w:p>
    <w:sectPr w:rsidR="00026421" w:rsidRPr="0002642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EAC0FB" w14:textId="77777777" w:rsidR="00CD4B65" w:rsidRDefault="00CD4B65" w:rsidP="00A23B02">
      <w:r>
        <w:separator/>
      </w:r>
    </w:p>
  </w:endnote>
  <w:endnote w:type="continuationSeparator" w:id="0">
    <w:p w14:paraId="6182A558" w14:textId="77777777" w:rsidR="00CD4B65" w:rsidRDefault="00CD4B65" w:rsidP="00A23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903F18" w14:textId="77777777" w:rsidR="00CD4B65" w:rsidRDefault="00CD4B65" w:rsidP="00A23B02">
      <w:r>
        <w:separator/>
      </w:r>
    </w:p>
  </w:footnote>
  <w:footnote w:type="continuationSeparator" w:id="0">
    <w:p w14:paraId="6FC6355E" w14:textId="77777777" w:rsidR="00CD4B65" w:rsidRDefault="00CD4B65" w:rsidP="00A23B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784"/>
    <w:rsid w:val="00026421"/>
    <w:rsid w:val="00151F48"/>
    <w:rsid w:val="003C0464"/>
    <w:rsid w:val="00534362"/>
    <w:rsid w:val="005A5EB7"/>
    <w:rsid w:val="006779FA"/>
    <w:rsid w:val="00694D68"/>
    <w:rsid w:val="007E6955"/>
    <w:rsid w:val="007F2547"/>
    <w:rsid w:val="00806511"/>
    <w:rsid w:val="00865922"/>
    <w:rsid w:val="009154FF"/>
    <w:rsid w:val="00995CD8"/>
    <w:rsid w:val="009F67CE"/>
    <w:rsid w:val="00A23B02"/>
    <w:rsid w:val="00CD4B65"/>
    <w:rsid w:val="00D93586"/>
    <w:rsid w:val="00E04784"/>
    <w:rsid w:val="00E06973"/>
    <w:rsid w:val="00E76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714071B"/>
  <w15:chartTrackingRefBased/>
  <w15:docId w15:val="{F6DC3C20-6D21-4607-992F-C896C83A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0478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E0478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0478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E0478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0478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0478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0478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0478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0478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0478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E0478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04784"/>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E0478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0478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0478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0478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0478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0478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0478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0478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0478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0478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04784"/>
    <w:pPr>
      <w:spacing w:before="160" w:after="160"/>
      <w:jc w:val="center"/>
    </w:pPr>
    <w:rPr>
      <w:i/>
      <w:iCs/>
      <w:color w:val="404040" w:themeColor="text1" w:themeTint="BF"/>
    </w:rPr>
  </w:style>
  <w:style w:type="character" w:customStyle="1" w:styleId="a8">
    <w:name w:val="引用文 (文字)"/>
    <w:basedOn w:val="a0"/>
    <w:link w:val="a7"/>
    <w:uiPriority w:val="29"/>
    <w:rsid w:val="00E04784"/>
    <w:rPr>
      <w:i/>
      <w:iCs/>
      <w:color w:val="404040" w:themeColor="text1" w:themeTint="BF"/>
    </w:rPr>
  </w:style>
  <w:style w:type="paragraph" w:styleId="a9">
    <w:name w:val="List Paragraph"/>
    <w:basedOn w:val="a"/>
    <w:uiPriority w:val="34"/>
    <w:qFormat/>
    <w:rsid w:val="00E04784"/>
    <w:pPr>
      <w:ind w:left="720"/>
      <w:contextualSpacing/>
    </w:pPr>
  </w:style>
  <w:style w:type="character" w:styleId="21">
    <w:name w:val="Intense Emphasis"/>
    <w:basedOn w:val="a0"/>
    <w:uiPriority w:val="21"/>
    <w:qFormat/>
    <w:rsid w:val="00E04784"/>
    <w:rPr>
      <w:i/>
      <w:iCs/>
      <w:color w:val="0F4761" w:themeColor="accent1" w:themeShade="BF"/>
    </w:rPr>
  </w:style>
  <w:style w:type="paragraph" w:styleId="22">
    <w:name w:val="Intense Quote"/>
    <w:basedOn w:val="a"/>
    <w:next w:val="a"/>
    <w:link w:val="23"/>
    <w:uiPriority w:val="30"/>
    <w:qFormat/>
    <w:rsid w:val="00E047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04784"/>
    <w:rPr>
      <w:i/>
      <w:iCs/>
      <w:color w:val="0F4761" w:themeColor="accent1" w:themeShade="BF"/>
    </w:rPr>
  </w:style>
  <w:style w:type="character" w:styleId="24">
    <w:name w:val="Intense Reference"/>
    <w:basedOn w:val="a0"/>
    <w:uiPriority w:val="32"/>
    <w:qFormat/>
    <w:rsid w:val="00E04784"/>
    <w:rPr>
      <w:b/>
      <w:bCs/>
      <w:smallCaps/>
      <w:color w:val="0F4761" w:themeColor="accent1" w:themeShade="BF"/>
      <w:spacing w:val="5"/>
    </w:rPr>
  </w:style>
  <w:style w:type="character" w:styleId="aa">
    <w:name w:val="Placeholder Text"/>
    <w:basedOn w:val="a0"/>
    <w:uiPriority w:val="99"/>
    <w:semiHidden/>
    <w:rsid w:val="00995CD8"/>
    <w:rPr>
      <w:color w:val="666666"/>
    </w:rPr>
  </w:style>
  <w:style w:type="paragraph" w:styleId="ab">
    <w:name w:val="header"/>
    <w:basedOn w:val="a"/>
    <w:link w:val="ac"/>
    <w:uiPriority w:val="99"/>
    <w:unhideWhenUsed/>
    <w:rsid w:val="00A23B02"/>
    <w:pPr>
      <w:tabs>
        <w:tab w:val="center" w:pos="4252"/>
        <w:tab w:val="right" w:pos="8504"/>
      </w:tabs>
      <w:snapToGrid w:val="0"/>
    </w:pPr>
  </w:style>
  <w:style w:type="character" w:customStyle="1" w:styleId="ac">
    <w:name w:val="ヘッダー (文字)"/>
    <w:basedOn w:val="a0"/>
    <w:link w:val="ab"/>
    <w:uiPriority w:val="99"/>
    <w:rsid w:val="00A23B02"/>
  </w:style>
  <w:style w:type="paragraph" w:styleId="ad">
    <w:name w:val="footer"/>
    <w:basedOn w:val="a"/>
    <w:link w:val="ae"/>
    <w:uiPriority w:val="99"/>
    <w:unhideWhenUsed/>
    <w:rsid w:val="00A23B02"/>
    <w:pPr>
      <w:tabs>
        <w:tab w:val="center" w:pos="4252"/>
        <w:tab w:val="right" w:pos="8504"/>
      </w:tabs>
      <w:snapToGrid w:val="0"/>
    </w:pPr>
  </w:style>
  <w:style w:type="character" w:customStyle="1" w:styleId="ae">
    <w:name w:val="フッター (文字)"/>
    <w:basedOn w:val="a0"/>
    <w:link w:val="ad"/>
    <w:uiPriority w:val="99"/>
    <w:rsid w:val="00A23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133</Words>
  <Characters>763</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2</cp:revision>
  <dcterms:created xsi:type="dcterms:W3CDTF">2025-07-07T03:52:00Z</dcterms:created>
  <dcterms:modified xsi:type="dcterms:W3CDTF">2025-07-08T08:17:00Z</dcterms:modified>
</cp:coreProperties>
</file>