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Self-Awareness Questionnaire (SAQ)</w:t>
      </w:r>
    </w:p>
    <w:p>
      <w:pPr>
        <w:spacing w:after="60"/>
        <w:jc w:val="center"/>
      </w:pPr>
      <w:r>
        <w:rPr>
          <w:i/>
          <w:iCs/>
          <w:color w:val="888888"/>
          <w:sz w:val="16"/>
          <w:szCs w:val="16"/>
        </w:rPr>
        <w:t xml:space="preserve">Longarzo et al. (2015) Front. Psychol. 6:1149 | doi: 10.3389/fpsyg.2015.01149</w:t>
      </w:r>
    </w:p>
    <w:p>
      <w:pPr>
        <w:spacing w:after="240"/>
        <w:jc w:val="center"/>
      </w:pPr>
      <w:r>
        <w:rPr>
          <w:i/>
          <w:iCs/>
          <w:color w:val="888888"/>
          <w:sz w:val="16"/>
          <w:szCs w:val="16"/>
        </w:rPr>
        <w:t xml:space="preserve">English version from original Appendix</w:t>
      </w:r>
    </w:p>
    <w:p>
      <w:pPr>
        <w:spacing w:after="40"/>
      </w:pPr>
      <w:r>
        <w:rPr>
          <w:sz w:val="20"/>
          <w:szCs w:val="20"/>
        </w:rPr>
        <w:t xml:space="preserve">Participant ID: ________________    </w:t>
      </w:r>
      <w:r>
        <w:rPr>
          <w:sz w:val="20"/>
          <w:szCs w:val="20"/>
        </w:rPr>
        <w:t xml:space="preserve">Date: ________________</w:t>
      </w:r>
    </w:p>
    <w:p>
      <w:pPr>
        <w:spacing w:after="200"/>
      </w:pPr>
      <w:r>
        <w:t xml:space="preserve"/>
      </w:r>
    </w:p>
    <w:p>
      <w:pPr>
        <w:pBdr>
          <w:left w:val="single" w:color="2E75B6" w:sz="12"/>
        </w:pBdr>
        <w:spacing w:after="60"/>
        <w:ind w:left="200"/>
      </w:pPr>
      <w:r>
        <w:rPr>
          <w:b/>
          <w:bCs/>
          <w:color w:val="2E75B6"/>
          <w:sz w:val="22"/>
          <w:szCs w:val="22"/>
        </w:rPr>
        <w:t xml:space="preserve">Instructions</w:t>
      </w:r>
    </w:p>
    <w:p>
      <w:pPr>
        <w:spacing w:after="60"/>
        <w:ind w:left="200"/>
      </w:pPr>
      <w:r>
        <w:rPr>
          <w:sz w:val="20"/>
          <w:szCs w:val="20"/>
        </w:rPr>
        <w:t xml:space="preserve">Please read each item carefully and tick the one box that best describes how often you feel each sensation.</w:t>
      </w:r>
    </w:p>
    <w:p>
      <w:pPr>
        <w:spacing w:after="60"/>
        <w:ind w:left="200"/>
      </w:pPr>
      <w:r>
        <w:rPr>
          <w:sz w:val="20"/>
          <w:szCs w:val="20"/>
        </w:rPr>
        <w:t xml:space="preserve">Tick one only. There are no right or wrong answers.</w:t>
      </w:r>
    </w:p>
    <w:p>
      <w:pPr>
        <w:spacing w:after="200"/>
        <w:ind w:left="200"/>
      </w:pPr>
      <w:r>
        <w:rPr>
          <w:b/>
          <w:bCs/>
          <w:color w:val="2E75B6"/>
          <w:sz w:val="20"/>
          <w:szCs w:val="20"/>
        </w:rPr>
        <w:t xml:space="preserve">0 = Never     1 = Sometimes     2 = Often     3 = Very Often     4 = Always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
Never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
Sometimes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
Often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
Very
Often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4
Always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When somebody coughs, I feel like coughing too</w:t>
            </w:r>
            <w:r>
              <w:rPr>
                <w:color w:val="CC8800"/>
                <w:sz w:val="16"/>
                <w:szCs w:val="16"/>
              </w:rPr>
              <w:t xml:space="preserve">  *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I am excessively bothered even by a small wound</w:t>
            </w:r>
            <w:r>
              <w:rPr>
                <w:color w:val="CC8800"/>
                <w:sz w:val="16"/>
                <w:szCs w:val="16"/>
              </w:rPr>
              <w:t xml:space="preserve">  *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my heart beat in my ears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very hot in comparison to others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I feel my head empty</w:t>
            </w:r>
            <w:r>
              <w:rPr>
                <w:color w:val="CC8800"/>
                <w:sz w:val="16"/>
                <w:szCs w:val="16"/>
              </w:rPr>
              <w:t xml:space="preserve">  *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pain excessively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my stomach tightening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I feel a tickle in my throat</w:t>
            </w:r>
            <w:r>
              <w:rPr>
                <w:color w:val="CC8800"/>
                <w:sz w:val="16"/>
                <w:szCs w:val="16"/>
              </w:rPr>
              <w:t xml:space="preserve">  *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a sudden hunger pang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my back ache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pins and needles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that I can't get enough air into my lungs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have an extra-strong heartbeat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full and bloated after eating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have a sudden urge to urinate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as if I am on fire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a burning sensation in my stomach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a pain in my stomach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very cold in comparison to others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I feel itchy</w:t>
            </w:r>
            <w:r>
              <w:rPr>
                <w:color w:val="CC8800"/>
                <w:sz w:val="16"/>
                <w:szCs w:val="16"/>
              </w:rPr>
              <w:t xml:space="preserve">  *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as if I have to throw up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22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I feel a sudden urge to defecate</w:t>
            </w:r>
            <w:r>
              <w:rPr>
                <w:color w:val="CC8800"/>
                <w:sz w:val="16"/>
                <w:szCs w:val="16"/>
              </w:rPr>
              <w:t xml:space="preserve">  *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chilled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my legs are heavy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my throat dry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have a heavy feeling in my chest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my heart thudding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sudden thirst pangs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29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999999"/>
                <w:sz w:val="18"/>
                <w:szCs w:val="18"/>
              </w:rPr>
              <w:t xml:space="preserve">I feel a pain that seems to migrate around the body</w:t>
            </w:r>
            <w:r>
              <w:rPr>
                <w:color w:val="CC8800"/>
                <w:sz w:val="16"/>
                <w:szCs w:val="16"/>
              </w:rPr>
              <w:t xml:space="preserve">  *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breathless without engaging in any type of exertion or effort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my ears burning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a lump in my throat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faint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feel my palms sweaty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 have difficulty swallowing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BBBBBB"/>
                <w:sz w:val="18"/>
                <w:szCs w:val="18"/>
              </w:rPr>
              <w:t xml:space="preserve">○</w:t>
            </w:r>
          </w:p>
        </w:tc>
      </w:tr>
    </w:tbl>
    <w:p>
      <w:pPr>
        <w:spacing w:after="60" w:before="200"/>
      </w:pPr>
      <w:r>
        <w:rPr>
          <w:i/>
          <w:iCs/>
          <w:color w:val="888888"/>
          <w:sz w:val="16"/>
          <w:szCs w:val="16"/>
        </w:rPr>
        <w:t xml:space="preserve">* Items marked with * (1, 2, 5, 8, 20, 22, 29) were excluded from the final scale based on factor analysis (Longarzo et al., 2015).</w:t>
      </w:r>
    </w:p>
    <w:p>
      <w:pPr>
        <w:spacing w:after="60"/>
      </w:pPr>
      <w:r>
        <w:rPr>
          <w:i/>
          <w:iCs/>
          <w:color w:val="888888"/>
          <w:sz w:val="16"/>
          <w:szCs w:val="16"/>
        </w:rPr>
        <w:t xml:space="preserve">Scoring: Use the remaining 28 items (max = 112 points). Higher scores indicate higher interoceptive awareness.</w:t>
      </w:r>
    </w:p>
    <w:p>
      <w:pPr>
        <w:pBdr>
          <w:top w:val="single" w:color="CCCCCC" w:sz="1"/>
        </w:pBdr>
        <w:spacing w:before="200"/>
      </w:pPr>
      <w:r>
        <w:rPr>
          <w:i/>
          <w:iCs/>
          <w:color w:val="999999"/>
          <w:sz w:val="14"/>
          <w:szCs w:val="14"/>
        </w:rPr>
        <w:t xml:space="preserve">Source: Longarzo M, D'Olimpio F, Chiavazzo A, Santangelo G, Trojano L and Grossi D (2015) The relationships between interoception and alexithymic trait. The Self-Awareness Questionnaire in healthy subjects. Front. Psychol. 6:1149. doi: 10.3389/fpsyg.2015.01149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2026-06-23T05:59:38.736Z</dcterms:created>
  <dcterms:modified xsi:type="dcterms:W3CDTF">2026-06-23T05:59:38.747Z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