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_mainbody"/>
      </w:pPr>
      <w:r>
        <w:br/>
        <w:br/>
      </w:r>
    </w:p>
    <w:p>
      <w:pPr>
        <w:pStyle w:val="c_style1"/>
      </w:pPr>
      <w:r>
        <w:t>国防科技战略先导计划</w:t>
      </w:r>
    </w:p>
    <w:p>
      <w:pPr>
        <w:pStyle w:val="c_mainbody"/>
      </w:pPr>
      <w:r>
        <w:br/>
        <w:br/>
        <w:br/>
        <w:br/>
        <w:br/>
        <w:br/>
        <w:br/>
        <w:br/>
      </w:r>
    </w:p>
    <w:p>
      <w:pPr>
        <w:pStyle w:val="c_style2"/>
      </w:pPr>
      <w:r>
        <w:t>网络信息参考</w:t>
      </w:r>
    </w:p>
    <w:p>
      <w:pPr>
        <w:pStyle w:val="c_style3"/>
      </w:pPr>
      <w:r>
        <w:t>（2022年第4季度汇编）</w:t>
      </w:r>
    </w:p>
    <w:p>
      <w:pPr>
        <w:pStyle w:val="c_mainbody"/>
      </w:pPr>
      <w:r>
        <w:br/>
        <w:br/>
        <w:br/>
        <w:br/>
        <w:br/>
        <w:br/>
        <w:br/>
        <w:br/>
        <w:br/>
        <w:br/>
        <w:br/>
        <w:br/>
        <w:br/>
        <w:br/>
        <w:br/>
        <w:br/>
        <w:br/>
        <w:br/>
        <w:br/>
        <w:br/>
        <w:br/>
        <w:br/>
        <w:br/>
        <w:br/>
        <w:br/>
      </w:r>
    </w:p>
    <w:p>
      <w:pPr>
        <w:pStyle w:val="c_style4"/>
      </w:pPr>
      <w:r>
        <w:t>军事科学院军事科学信息研究中心</w:t>
      </w:r>
    </w:p>
    <w:p>
      <w:pPr>
        <w:pStyle w:val="c_style4"/>
      </w:pPr>
      <w:r>
        <w:t>二〇二二年十月十二日</w:t>
      </w:r>
    </w:p>
    <w:p>
      <w:r>
        <w:br w:type="page"/>
      </w:r>
    </w:p>
    <w:p>
      <w:r>
        <w:br w:type="page"/>
      </w:r>
    </w:p>
    <w:p>
      <w:pPr>
        <w:pStyle w:val="d_style1"/>
      </w:pPr>
      <w:r>
        <w:t>目录</w:t>
      </w:r>
    </w:p>
    <w:p>
      <w:pPr>
        <w:pStyle w:val="d_style2"/>
      </w:pPr>
      <w:r>
        <w:t>第一篇  信息通信</w:t>
      </w:r>
    </w:p>
    <w:p>
      <w:pPr>
        <w:pStyle w:val="d_style3"/>
      </w:pPr>
      <w:r>
        <w:t>·中国发布《“十四五”信息通信行业发展规划》</w:t>
      </w:r>
    </w:p>
    <w:p>
      <w:pPr>
        <w:pStyle w:val="d_style2"/>
      </w:pPr>
      <w:r>
        <w:t>第二篇  卫星通信</w:t>
      </w:r>
    </w:p>
    <w:p>
      <w:pPr>
        <w:pStyle w:val="d_style3"/>
      </w:pPr>
      <w:r>
        <w:t>·澳大利亚发布《Australia's Defence Space Strategy》</w:t>
      </w:r>
    </w:p>
    <w:p>
      <w:pPr>
        <w:pStyle w:val="d_style3"/>
      </w:pPr>
      <w:r>
        <w:t>·美国发布《DOD-DIGITAL-MODERNIZATION-STRATEGY-2019》</w:t>
      </w:r>
    </w:p>
    <w:p>
      <w:pPr>
        <w:pStyle w:val="d_style3"/>
      </w:pPr>
      <w:r>
        <w:t>·英国发布《20220120-UK_Defence_Space_Strategy_Feb_22》</w:t>
      </w:r>
    </w:p>
    <w:p>
      <w:pPr>
        <w:pStyle w:val="d_style2"/>
      </w:pPr>
      <w:r>
        <w:t>第三篇  5G</w:t>
      </w:r>
    </w:p>
    <w:p>
      <w:pPr>
        <w:pStyle w:val="d_style3"/>
      </w:pPr>
      <w:r>
        <w:t>·美国发布《DIB_5G_STUDY_04-03-19》</w:t>
      </w:r>
    </w:p>
    <w:p>
      <w:pPr>
        <w:pStyle w:val="d_style3"/>
      </w:pPr>
      <w:r>
        <w:t>·美国发布《DOD-5G-Strategy-Implementation-Plan》</w:t>
      </w:r>
    </w:p>
    <w:p>
      <w:pPr>
        <w:pStyle w:val="d_style3"/>
      </w:pPr>
      <w:r>
        <w:t>·美国发布《Dod C3 Modernization Strategy》</w:t>
      </w:r>
    </w:p>
    <w:p>
      <w:pPr>
        <w:pStyle w:val="d_style3"/>
      </w:pPr>
      <w:r>
        <w:t>·美国发布《National Strategy to Secure 5G of the United States of America》</w:t>
      </w:r>
    </w:p>
    <w:p>
      <w:pPr>
        <w:pStyle w:val="d_style3"/>
      </w:pPr>
      <w:r>
        <w:t>·美国发布《NIST-IR-8433》</w:t>
      </w:r>
    </w:p>
    <w:p>
      <w:pPr>
        <w:pStyle w:val="d_style2"/>
      </w:pPr>
      <w:r>
        <w:t>第四篇  数据战略</w:t>
      </w:r>
    </w:p>
    <w:p>
      <w:pPr>
        <w:pStyle w:val="d_style3"/>
      </w:pPr>
      <w:r>
        <w:t>·美国发布《DOD-DATA-STRATEGY》</w:t>
      </w:r>
    </w:p>
    <w:p>
      <w:r>
        <w:br w:type="page"/>
      </w:r>
    </w:p>
    <w:p>
      <w:pPr>
        <w:pStyle w:val="p_style1"/>
      </w:pPr>
      <w:r>
        <w:t>语言分布</w:t>
      </w:r>
    </w:p>
    <w:p>
      <w:pPr>
        <w:pStyle w:val="p_style1"/>
      </w:pPr>
      <w:r>
        <w:br/>
        <w:br/>
      </w:r>
    </w:p>
    <w:p>
      <w:pPr>
        <w:jc w:val="center"/>
      </w:pPr>
      <w:r>
        <w:drawing>
          <wp:inline xmlns:a="http://schemas.openxmlformats.org/drawingml/2006/main" xmlns:pic="http://schemas.openxmlformats.org/drawingml/2006/picture">
            <wp:extent cx="5400000" cy="3175472"/>
            <wp:docPr id="1" name="Picture 1"/>
            <wp:cNvGraphicFramePr>
              <a:graphicFrameLocks noChangeAspect="1"/>
            </wp:cNvGraphicFramePr>
            <a:graphic>
              <a:graphicData uri="http://schemas.openxmlformats.org/drawingml/2006/picture">
                <pic:pic>
                  <pic:nvPicPr>
                    <pic:cNvPr id="0" name="sti_wordcloud.png"/>
                    <pic:cNvPicPr/>
                  </pic:nvPicPr>
                  <pic:blipFill>
                    <a:blip r:embed="rId9"/>
                    <a:stretch>
                      <a:fillRect/>
                    </a:stretch>
                  </pic:blipFill>
                  <pic:spPr>
                    <a:xfrm>
                      <a:off x="0" y="0"/>
                      <a:ext cx="5400000" cy="3175472"/>
                    </a:xfrm>
                    <a:prstGeom prst="rect"/>
                  </pic:spPr>
                </pic:pic>
              </a:graphicData>
            </a:graphic>
          </wp:inline>
        </w:drawing>
      </w:r>
    </w:p>
    <w:p>
      <w:r>
        <w:br w:type="page"/>
      </w:r>
    </w:p>
    <w:p>
      <w:pPr>
        <w:pStyle w:val="t_style1"/>
      </w:pPr>
      <w:r>
        <w:br/>
        <w:br/>
        <w:br/>
        <w:br/>
        <w:br/>
        <w:br/>
        <w:br/>
        <w:br/>
      </w:r>
    </w:p>
    <w:p>
      <w:pPr>
        <w:pStyle w:val="t_style2"/>
      </w:pPr>
      <w:r>
        <w:t>第一篇</w:t>
      </w:r>
    </w:p>
    <w:p>
      <w:pPr>
        <w:pStyle w:val="t_style3"/>
      </w:pPr>
      <w:r>
        <w:t>信息通信</w:t>
      </w:r>
    </w:p>
    <w:p>
      <w:r>
        <w:br w:type="page"/>
      </w:r>
    </w:p>
    <w:p>
      <w:pPr>
        <w:pStyle w:val="t_style4"/>
      </w:pPr>
      <w:r>
        <w:t>中国发布《“十四五”信息通信行业发展规划》</w:t>
      </w:r>
    </w:p>
    <w:p>
      <w:pPr>
        <w:pStyle w:val="t_style5"/>
      </w:pPr>
      <w:r>
        <w:t>“十四五”时期是我国全面建成小康社会之后，乘势而上开启全面建设社会主义现代化国家新征程的第一个五年，也是建设网络强国和数字中国、推进信息通信行业高质量发展的关键时期。面向中小企业开放数据服务资源，增强企业数据应用能力，面向重点行业培育一批工业大数据解决方案供应 创新信息通信设备监管。（2020年）</w:t>
      </w:r>
    </w:p>
    <w:p>
      <w:pPr>
        <w:pStyle w:val="t_style6"/>
      </w:pPr>
      <w:r>
        <w:t>关键词：网络 信息通信行业 数据</w:t>
      </w:r>
    </w:p>
    <w:p>
      <w:pPr>
        <w:pStyle w:val="t_style4"/>
      </w:pPr>
    </w:p>
    <w:p>
      <w:r>
        <w:br w:type="page"/>
      </w:r>
    </w:p>
    <w:p>
      <w:pPr>
        <w:pStyle w:val="t_style1"/>
      </w:pPr>
      <w:r>
        <w:br/>
        <w:br/>
        <w:br/>
        <w:br/>
        <w:br/>
        <w:br/>
        <w:br/>
        <w:br/>
      </w:r>
    </w:p>
    <w:p>
      <w:pPr>
        <w:pStyle w:val="t_style2"/>
      </w:pPr>
      <w:r>
        <w:t>第二篇</w:t>
      </w:r>
    </w:p>
    <w:p>
      <w:pPr>
        <w:pStyle w:val="t_style3"/>
      </w:pPr>
      <w:r>
        <w:t>卫星通信</w:t>
      </w:r>
    </w:p>
    <w:p>
      <w:r>
        <w:br w:type="page"/>
      </w:r>
    </w:p>
    <w:p>
      <w:pPr>
        <w:pStyle w:val="t_style4"/>
      </w:pPr>
      <w:r>
        <w:t>澳大利亚发布《Australia's Defence Space Strategy》</w:t>
      </w:r>
    </w:p>
    <w:p>
      <w:pPr>
        <w:pStyle w:val="t_style5"/>
      </w:pPr>
      <w:r>
        <w:t>国防将协助整个政府努力确保澳大利亚获得太空能力。国防的空间领域感知能力将通过不断发展的空间指挥和控制系统以及开发主权空间监视传感器而逐步提高。国防与澳大利亚工业界的关系将继续发展，工业界将有更多机会为能力生命周期的所有阶段做出贡献，作为不仅满足国防要求而且塑造它们的合作伙伴。（2020年）</w:t>
      </w:r>
    </w:p>
    <w:p>
      <w:pPr>
        <w:pStyle w:val="t_style6"/>
      </w:pPr>
      <w:r>
        <w:t>关键词：空间 澳大利亚 能力</w:t>
      </w:r>
    </w:p>
    <w:p>
      <w:pPr>
        <w:pStyle w:val="t_style4"/>
      </w:pPr>
    </w:p>
    <w:p>
      <w:pPr>
        <w:pStyle w:val="t_style4"/>
      </w:pPr>
      <w:r>
        <w:t>美国发布《DOD-DIGITAL-MODERNIZATION-STRATEGY-2019》</w:t>
      </w:r>
    </w:p>
    <w:p>
      <w:pPr>
        <w:pStyle w:val="t_style5"/>
      </w:pPr>
      <w:r>
        <w:t>NDBOP是OMB授权的国防部机构战略计划(ASP)，是国防部管理和改革维持作战人员所需的业务运营和任务支持基础设施的路线图。JIE实施了新的联合网络安全能力，提高了固定和移动用户的网络能力，建立了多项新的国防部范围内的IT服务，通过协调更新努力实现技术现代化，满足任务合作伙伴信息共享要求，并改善对数据的访问。（2020年）</w:t>
      </w:r>
    </w:p>
    <w:p>
      <w:pPr>
        <w:pStyle w:val="t_style6"/>
      </w:pPr>
      <w:r>
        <w:t>关键词：国防部 网络 提供</w:t>
      </w:r>
    </w:p>
    <w:p>
      <w:pPr>
        <w:pStyle w:val="t_style4"/>
      </w:pPr>
    </w:p>
    <w:p>
      <w:pPr>
        <w:pStyle w:val="t_style4"/>
      </w:pPr>
      <w:r>
        <w:t>英国发布《20220120-UK_Defence_Space_Strategy_Feb_22》</w:t>
      </w:r>
    </w:p>
    <w:p>
      <w:pPr>
        <w:pStyle w:val="t_style5"/>
      </w:pPr>
      <w:r>
        <w:t>基于这些变化，以及国防和安全工业战略(DSIS)中概述的刺激经济增长和国家安全的动力，15国防对整个英国的太空经济的持续增长和升级做出了很大贡献.除了未来十年超过50亿英镑的总体投资以重组和增强我们的卫星通信能力外，国防部还预计使用可以利用新技术并比传统采购方法更快地为用户提供能力的目标项目。e.空间控制。（2022年2月）</w:t>
      </w:r>
    </w:p>
    <w:p>
      <w:pPr>
        <w:pStyle w:val="t_style6"/>
      </w:pPr>
      <w:r>
        <w:t>关键词：能力 英国 空间</w:t>
      </w:r>
    </w:p>
    <w:p>
      <w:pPr>
        <w:pStyle w:val="t_style4"/>
      </w:pPr>
    </w:p>
    <w:p>
      <w:r>
        <w:br w:type="page"/>
      </w:r>
    </w:p>
    <w:p>
      <w:pPr>
        <w:pStyle w:val="t_style1"/>
      </w:pPr>
      <w:r>
        <w:br/>
        <w:br/>
        <w:br/>
        <w:br/>
        <w:br/>
        <w:br/>
        <w:br/>
        <w:br/>
      </w:r>
    </w:p>
    <w:p>
      <w:pPr>
        <w:pStyle w:val="t_style2"/>
      </w:pPr>
      <w:r>
        <w:t>第三篇</w:t>
      </w:r>
    </w:p>
    <w:p>
      <w:pPr>
        <w:pStyle w:val="t_style3"/>
      </w:pPr>
      <w:r>
        <w:t>5G</w:t>
      </w:r>
    </w:p>
    <w:p>
      <w:r>
        <w:br w:type="page"/>
      </w:r>
    </w:p>
    <w:p>
      <w:pPr>
        <w:pStyle w:val="t_style4"/>
      </w:pPr>
      <w:r>
        <w:t>美国发布《DIB_5G_STUDY_04-03-19》</w:t>
      </w:r>
    </w:p>
    <w:p>
      <w:pPr>
        <w:pStyle w:val="t_style5"/>
      </w:pPr>
      <w:r>
        <w:t>5在国内，中国的5G部署正在通过其主要电信公司实施 然而，固定操作可以通过使用高方向性天线或波束成形系统来共享频谱，这种类型的设备将非常适合向农村地区提供固定服务，以及国防部可能用于固定网络扩展的用途。美国可能会选择继续走毫米波的道路，但世界其他地区则专注于建设sub-6基础设施，中国处于领先地位。（2020年）</w:t>
      </w:r>
    </w:p>
    <w:p>
      <w:pPr>
        <w:pStyle w:val="t_style6"/>
      </w:pPr>
      <w:r>
        <w:t>关键词：频谱 网络 美国</w:t>
      </w:r>
    </w:p>
    <w:p>
      <w:pPr>
        <w:pStyle w:val="t_style4"/>
      </w:pPr>
    </w:p>
    <w:p>
      <w:pPr>
        <w:pStyle w:val="t_style4"/>
      </w:pPr>
      <w:r>
        <w:t>美国发布《DOD-5G-Strategy-Implementation-Plan》</w:t>
      </w:r>
    </w:p>
    <w:p>
      <w:pPr>
        <w:pStyle w:val="t_style5"/>
      </w:pPr>
      <w:r>
        <w:t>鉴于军队需要在敌对和有争议的环境中作战，国防部将利用基于风险的框架来确保我们的5G网络、设备、武器系统和应用程序的机密性、完整性和可用性，并鼓励其合作伙伴和盟友也这样做.国防部还将进行针对特定国家的评估，以确定盟友和合作伙伴网络中的非安全设备如何影响国防部的行动。国防部正在寻求多种方法来保护5G技术。（2020年12月15日）</w:t>
      </w:r>
    </w:p>
    <w:p>
      <w:pPr>
        <w:pStyle w:val="t_style6"/>
      </w:pPr>
      <w:r>
        <w:t>关键词：国防部 技术 网络</w:t>
      </w:r>
    </w:p>
    <w:p>
      <w:pPr>
        <w:pStyle w:val="t_style4"/>
      </w:pPr>
    </w:p>
    <w:p>
      <w:pPr>
        <w:pStyle w:val="t_style4"/>
      </w:pPr>
      <w:r>
        <w:t>美国发布《Dod C3 Modernization Strategy》</w:t>
      </w:r>
    </w:p>
    <w:p>
      <w:pPr>
        <w:pStyle w:val="t_style5"/>
      </w:pPr>
      <w:r>
        <w:t>指挥、控制和通信(C3)系统是所有军事行动的基础，提供规划、协调和控制整个国防部(DoD)任务范围内的部队和行动所需的关键信息。NDS要求联合部队更具杀伤力、适应性和弹性；该战略中的战略目标和相关工作路线为现代化C3使能能力提供了总体方向，并为能够针对21世纪威胁执行联合全域作战的完全网络化C3基础设施奠定了基础。（2020年1月31日）</w:t>
      </w:r>
    </w:p>
    <w:p>
      <w:pPr>
        <w:pStyle w:val="t_style6"/>
      </w:pPr>
      <w:r>
        <w:t>关键词：能力 提供 军事部门</w:t>
      </w:r>
    </w:p>
    <w:p>
      <w:pPr>
        <w:pStyle w:val="t_style4"/>
      </w:pPr>
    </w:p>
    <w:p>
      <w:pPr>
        <w:pStyle w:val="t_style4"/>
      </w:pPr>
      <w:r>
        <w:t>美国发布《National Strategy to Secure 5G of the United States of America》</w:t>
      </w:r>
    </w:p>
    <w:p>
      <w:pPr>
        <w:pStyle w:val="t_style5"/>
      </w:pPr>
      <w:r>
        <w:t>美国和志同道合的国家将引领安全可靠的第五代(5G)通信基础设施的全球开发、部署和管理，其中包括用于提供5G的硬件、软件和服务。(3)更新法规以促进5G回程的部署。美国政府将与私营部门合作，确定、制定并将核心安全原则——网络安全、供应链风险管理和公共安全方面的最佳实践——应用于美国5G基础设施。（2020年3月）</w:t>
      </w:r>
    </w:p>
    <w:p>
      <w:pPr>
        <w:pStyle w:val="t_style6"/>
      </w:pPr>
      <w:r>
        <w:t>关键词：5G基础设施 供应链风险 私营部门</w:t>
      </w:r>
    </w:p>
    <w:p>
      <w:pPr>
        <w:pStyle w:val="t_style4"/>
      </w:pPr>
    </w:p>
    <w:p>
      <w:pPr>
        <w:pStyle w:val="t_style4"/>
      </w:pPr>
      <w:r>
        <w:t>美国发布《NIST-IR-8433》</w:t>
      </w:r>
    </w:p>
    <w:p>
      <w:pPr>
        <w:pStyle w:val="t_style5"/>
      </w:pPr>
      <w:r>
        <w:t>GreerC,BohnR,ZhangT(2022)先进通信技术标准，先进通信技术跨机构工作组报告。它还为机构参与制定自愿共识标准提供指导，并阐明与联邦机构使用标准有关的政策。研究新的通信和导航技术，以便这些网络能够支持高级任务；ISOTC20/SC13（空间数据和信息传输系统）有来自20个国家的代表，包括6个技术领域和23个团队。（2022年9月）</w:t>
      </w:r>
    </w:p>
    <w:p>
      <w:pPr>
        <w:pStyle w:val="t_style6"/>
      </w:pPr>
      <w:r>
        <w:t>关键词：联邦机构 标准 先进通信技术</w:t>
      </w:r>
    </w:p>
    <w:p>
      <w:pPr>
        <w:pStyle w:val="t_style4"/>
      </w:pPr>
    </w:p>
    <w:p>
      <w:r>
        <w:br w:type="page"/>
      </w:r>
    </w:p>
    <w:p>
      <w:pPr>
        <w:pStyle w:val="t_style1"/>
      </w:pPr>
      <w:r>
        <w:br/>
        <w:br/>
        <w:br/>
        <w:br/>
        <w:br/>
        <w:br/>
        <w:br/>
        <w:br/>
      </w:r>
    </w:p>
    <w:p>
      <w:pPr>
        <w:pStyle w:val="t_style2"/>
      </w:pPr>
      <w:r>
        <w:t>第四篇</w:t>
      </w:r>
    </w:p>
    <w:p>
      <w:pPr>
        <w:pStyle w:val="t_style3"/>
      </w:pPr>
      <w:r>
        <w:t>数据战略</w:t>
      </w:r>
    </w:p>
    <w:p>
      <w:r>
        <w:br w:type="page"/>
      </w:r>
    </w:p>
    <w:p>
      <w:pPr>
        <w:pStyle w:val="t_style4"/>
      </w:pPr>
      <w:r>
        <w:t>美国发布《DOD-DATA-STRATEGY》</w:t>
      </w:r>
    </w:p>
    <w:p>
      <w:pPr>
        <w:pStyle w:val="t_style5"/>
      </w:pPr>
      <w:r>
        <w:t>通过提供将部门转变为以数据为中心的企业所需的总体愿景、重点领域、指导原则、基本能力和目标来实现现代化。作为国防部数字现代化计划的关键组成部分，国防部数据战略通过访问准确、及时和安全的数据来提高军事效能，从而支持国防战略(NDS)。数据管理员制定管理数据访问、使用、保护、质量和传播的政策。（2020年9月30日）</w:t>
      </w:r>
    </w:p>
    <w:p>
      <w:pPr>
        <w:pStyle w:val="t_style6"/>
      </w:pPr>
      <w:r>
        <w:t>关键词：数据 国防部 提供</w:t>
      </w:r>
    </w:p>
    <w:p>
      <w:pPr>
        <w:pStyle w:val="t_style4"/>
      </w:pP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_mainbody">
    <w:name w:val="c_mainbody"/>
    <w:pPr>
      <w:spacing w:before="0" w:after="0" w:line="240" w:lineRule="auto"/>
      <w:ind w:firstLine="0"/>
    </w:pPr>
    <w:rPr>
      <w:rFonts w:ascii="Times New Roman" w:hAnsi="Times New Roman" w:eastAsia="宋体"/>
      <w:color w:val="000000"/>
      <w:sz w:val="16"/>
    </w:rPr>
  </w:style>
  <w:style w:type="paragraph" w:customStyle="1" w:styleId="c_style1">
    <w:name w:val="c_style1"/>
    <w:pPr>
      <w:spacing w:before="0" w:after="0" w:line="360" w:lineRule="auto"/>
      <w:ind w:firstLine="720"/>
    </w:pPr>
    <w:rPr>
      <w:rFonts w:ascii="Times New Roman" w:hAnsi="Times New Roman" w:eastAsia="楷体_GB2312"/>
      <w:color w:val="000000"/>
      <w:sz w:val="36"/>
    </w:rPr>
  </w:style>
  <w:style w:type="paragraph" w:customStyle="1" w:styleId="c_style2">
    <w:name w:val="c_style2"/>
    <w:pPr>
      <w:spacing w:before="0" w:after="0" w:line="240" w:lineRule="auto"/>
      <w:ind w:firstLine="0"/>
      <w:jc w:val="center"/>
    </w:pPr>
    <w:rPr>
      <w:rFonts w:ascii="Times New Roman" w:hAnsi="Times New Roman" w:eastAsia="方正苏轼行书 简繁"/>
      <w:color w:val="FF0000"/>
      <w:sz w:val="140"/>
    </w:rPr>
  </w:style>
  <w:style w:type="paragraph" w:customStyle="1" w:styleId="c_style3">
    <w:name w:val="c_style3"/>
    <w:pPr>
      <w:spacing w:before="400" w:after="0" w:line="360" w:lineRule="auto"/>
      <w:ind w:firstLine="0"/>
      <w:jc w:val="center"/>
    </w:pPr>
    <w:rPr>
      <w:rFonts w:ascii="Times New Roman" w:hAnsi="Times New Roman" w:eastAsia="楷体_GB2312"/>
      <w:color w:val="000000"/>
      <w:sz w:val="40"/>
    </w:rPr>
  </w:style>
  <w:style w:type="paragraph" w:customStyle="1" w:styleId="c_style4">
    <w:name w:val="c_style4"/>
    <w:pPr>
      <w:spacing w:before="0" w:after="0" w:line="360" w:lineRule="auto"/>
      <w:ind w:firstLine="0"/>
      <w:jc w:val="center"/>
    </w:pPr>
    <w:rPr>
      <w:rFonts w:ascii="Times New Roman" w:hAnsi="Times New Roman" w:eastAsia="楷体_GB2312"/>
      <w:color w:val="000000"/>
      <w:sz w:val="36"/>
    </w:rPr>
  </w:style>
  <w:style w:type="paragraph" w:customStyle="1" w:styleId="d_style1">
    <w:name w:val="d_style1"/>
    <w:pPr>
      <w:spacing w:before="140" w:after="140" w:line="240" w:lineRule="auto"/>
      <w:ind w:firstLine="0"/>
      <w:jc w:val="center"/>
    </w:pPr>
    <w:rPr>
      <w:rFonts w:ascii="Times New Roman" w:hAnsi="Times New Roman" w:eastAsia="黑体"/>
      <w:color w:val="000000"/>
      <w:sz w:val="56"/>
    </w:rPr>
  </w:style>
  <w:style w:type="paragraph" w:customStyle="1" w:styleId="d_style2">
    <w:name w:val="d_style2"/>
    <w:pPr>
      <w:spacing w:before="320" w:after="320" w:line="432" w:lineRule="auto"/>
      <w:ind w:firstLine="0"/>
      <w:jc w:val="center"/>
    </w:pPr>
    <w:rPr>
      <w:rFonts w:ascii="Times New Roman" w:hAnsi="Times New Roman" w:eastAsia="方正小标宋简体"/>
      <w:color w:val="000000"/>
      <w:sz w:val="32"/>
    </w:rPr>
  </w:style>
  <w:style w:type="paragraph" w:customStyle="1" w:styleId="d_style3">
    <w:name w:val="d_style3"/>
    <w:pPr>
      <w:spacing w:before="0" w:after="0" w:line="432" w:lineRule="auto"/>
      <w:ind w:firstLine="0"/>
    </w:pPr>
    <w:rPr>
      <w:rFonts w:ascii="Times New Roman" w:hAnsi="Times New Roman" w:eastAsia="宋体"/>
      <w:color w:val="000000"/>
      <w:sz w:val="24"/>
    </w:rPr>
  </w:style>
  <w:style w:type="paragraph" w:customStyle="1" w:styleId="p_style1">
    <w:name w:val="p_style1"/>
    <w:pPr>
      <w:spacing w:before="140" w:after="140" w:line="240" w:lineRule="auto"/>
      <w:ind w:firstLine="0"/>
      <w:jc w:val="center"/>
    </w:pPr>
    <w:rPr>
      <w:rFonts w:ascii="Times New Roman" w:hAnsi="Times New Roman" w:eastAsia="黑体"/>
      <w:color w:val="000000"/>
      <w:sz w:val="56"/>
    </w:rPr>
  </w:style>
  <w:style w:type="paragraph" w:customStyle="1" w:styleId="t_style1">
    <w:name w:val="t_style1"/>
    <w:pPr>
      <w:spacing w:before="0" w:after="0" w:line="240" w:lineRule="auto"/>
      <w:ind w:firstLine="0"/>
    </w:pPr>
    <w:rPr>
      <w:rFonts w:ascii="Times New Roman" w:hAnsi="Times New Roman" w:eastAsia="黑体"/>
      <w:color w:val="000000"/>
      <w:sz w:val="56"/>
    </w:rPr>
  </w:style>
  <w:style w:type="paragraph" w:customStyle="1" w:styleId="t_style2">
    <w:name w:val="t_style2"/>
    <w:pPr>
      <w:spacing w:before="0" w:after="0" w:line="360" w:lineRule="auto"/>
      <w:ind w:firstLine="0"/>
      <w:jc w:val="center"/>
    </w:pPr>
    <w:rPr>
      <w:rFonts w:ascii="Times New Roman" w:hAnsi="Times New Roman" w:eastAsia="方正小标宋简体"/>
      <w:color w:val="000000"/>
      <w:sz w:val="44"/>
    </w:rPr>
  </w:style>
  <w:style w:type="paragraph" w:customStyle="1" w:styleId="t_style3">
    <w:name w:val="t_style3"/>
    <w:pPr>
      <w:spacing w:before="0" w:after="0" w:line="360" w:lineRule="auto"/>
      <w:ind w:firstLine="0"/>
      <w:jc w:val="center"/>
    </w:pPr>
    <w:rPr>
      <w:rFonts w:ascii="Times New Roman" w:hAnsi="Times New Roman" w:eastAsia="方正小标宋简体"/>
      <w:color w:val="000000"/>
      <w:sz w:val="48"/>
    </w:rPr>
  </w:style>
  <w:style w:type="paragraph" w:customStyle="1" w:styleId="t_style4">
    <w:name w:val="t_style4"/>
    <w:pPr>
      <w:spacing w:before="0" w:after="0" w:line="408" w:lineRule="auto"/>
      <w:ind w:firstLine="0"/>
      <w:jc w:val="center"/>
    </w:pPr>
    <w:rPr>
      <w:rFonts w:ascii="Times New Roman" w:hAnsi="Times New Roman" w:eastAsia="黑体"/>
      <w:color w:val="000000"/>
      <w:sz w:val="36"/>
    </w:rPr>
  </w:style>
  <w:style w:type="paragraph" w:customStyle="1" w:styleId="t_style5">
    <w:name w:val="t_style5"/>
    <w:pPr>
      <w:spacing w:before="0" w:after="0" w:line="408" w:lineRule="auto"/>
      <w:ind w:firstLine="640"/>
    </w:pPr>
    <w:rPr>
      <w:rFonts w:ascii="Times New Roman" w:hAnsi="Times New Roman" w:eastAsia="楷体_GB2312"/>
      <w:color w:val="000000"/>
      <w:sz w:val="32"/>
    </w:rPr>
  </w:style>
  <w:style w:type="paragraph" w:customStyle="1" w:styleId="t_style6">
    <w:name w:val="t_style6"/>
    <w:pPr>
      <w:spacing w:before="0" w:after="0" w:line="408" w:lineRule="auto"/>
      <w:ind w:firstLine="0"/>
    </w:pPr>
    <w:rPr>
      <w:rFonts w:ascii="Times New Roman" w:hAnsi="Times New Roman" w:eastAsia="黑体"/>
      <w:color w:val="00000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