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 w:befor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6"/>
          <w:szCs w:val="36"/>
        </w:rPr>
        <w:t xml:space="preserve">SparkLearn 软件工程交付文档</w:t>
      </w:r>
    </w:p>
    <w:p>
      <w:pPr>
        <w:spacing w:after="420" w:before="260" w:line="3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软件工程文档编制说明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个性化学习多智能体平台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 详细正式版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正式交付文档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项目周期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6 月 20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编写日期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项目负责人A、开发者A、测试人员A、评审专家A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规范依据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GB/T 8567-2006《计算机软件文档编制规范》、ISO/IEC/IEEE 12207 软件生命周期过程、ISO/IEC/IEEE 15289 生命周期信息项、IEEE 1016 软件设计说明、ISO/IEC/IEEE 29119 软件测试文档。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人名处理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文档内涉及人员示例均使用同学A、教师A、管理员A、开发者A、测试人员A、评审专家A等占位称呼。</w:t>
            </w:r>
          </w:p>
        </w:tc>
      </w:tr>
    </w:tbl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修订记录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4500"/>
        <w:gridCol w:w="13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版本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日期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修订说明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修订人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V1.0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29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形成项目材料初版。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V2.0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30 日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依据软件工程文档规范重写为详细正式版，统一 StudyBuddy、CrewAI、讯飞星辰 Agent 平台、PostgreSQL 等技术口径。</w:t>
            </w:r>
          </w:p>
        </w:tc>
        <w:tc>
          <w:tcPr>
            <w:tcW w:type="dxa" w:w="1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开发者A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br/>
        <w:t xml:space="preserve"/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文档目的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说明 SparkLearn 正式交付文档集的目录结构、编写规则、术语口径、格式要求和软件工程规范依据。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本文件适用于 2026 年 4 月 9 日 至 2026 年 6 月 20 日 内 SparkLearn 项目的设计、开发、测试、部署、验收、答辩和后续维护。文档采用正式软件工程交付口径描述，所有核心能力均按已实现技术方案展开说明。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适用范围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适用于 SparkLearn 项目全部正式交付文档的编写、维护、校验和归档。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术语与缩略语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术语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StudyBuddy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对本地智能体执行内核改造后的自研学习伙伴，用于承接本地工具调用、任务执行、浏览器自动化、学习陪伴和过程日志记录。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CrewAI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多智能体编排框架，用于定义角色、任务、协作顺序、结果聚合和多智能体执行链路。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讯飞星辰 Agent 平台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平台级智能体能力接入与任务执行平台，承担外部智能体能力、资源生成任务、工具调用和教学任务执行。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讯飞星火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SparkLearn 的核心大模型能力来源，承担对话、资源生成、内容优化、教学解释、结构化抽取和个性化逆构。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RAG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检索增强生成机制，通过知识库检索、用户文件检索、证据片段注入和可信回答控制提升回答可靠性。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PostgreSQL / PolarDB PostgreSQL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系统当前使用 PostgreSQL 作为主数据库方案，生产部署推荐使用阿里云 PolarDB PostgreSQL。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JSON / JSONL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用于事件审计、画像快照、Agent 记忆补充层、调试回放和过程日志的轻量数据格式。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多模态资源</w:t>
            </w:r>
          </w:p>
        </w:tc>
        <w:tc>
          <w:tcPr>
            <w:tcW w:type="dxa" w:w="6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包含文档、PPT、视频、图片、代码案例、练习题、拓展阅读、文件上下文和对话中的多媒体输出。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编写规范依据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本文档编写遵循 GB/T 8567-2006《计算机软件文档编制规范》、ISO/IEC/IEEE 12207 软件生命周期过程、ISO/IEC/IEEE 15289 生命周期信息项、IEEE 1016 软件设计说明、ISO/IEC/IEEE 29119 软件测试文档。 其中，设计类内容强调模块职责、接口边界、数据结构、执行流程和质量属性；测试类内容强调测试对象、测试策略、测试数据、验收标准和质量结论；用户手册类内容强调操作路径、角色差异和异常处理。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项目周期与阶段成果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项目周期统一定义为 2026 年 4 月 9 日 至 2026 年 6 月 20 日。文档中的设计、测试、部署和使用说明均围绕该周期内形成的软件能力展开。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600"/>
        <w:gridCol w:w="2726"/>
      </w:tblGrid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阶段目标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22222"/>
                <w:sz w:val="21"/>
                <w:szCs w:val="21"/>
              </w:rPr>
              <w:t xml:space="preserve">主要成果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启动与需求确认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9 日 至 2026 年 4 月 18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明确赛题、用户角色、核心闭环和技术路线。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形成学习闭环、功能树、技术路线和文档框架。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核心功能建设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4 月 19 日 至 2026 年 5 月 12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完成学生端主流程、资源生成、练习报告和教师端基础能力。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完成画像、路径、资源、对话、练习、报告、教师端大屏。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智能体与数据深化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13 日 至 2026 年 5 月 30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CrewAI、StudyBuddy、讯飞星辰 Agent 平台融合和 PostgreSQL 迁移。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 RAG 重构、记忆层重写、防幻觉系统、多模态对话和资源模板沉淀。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测试优化与交付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2026 年 5 月 31 日 至 2026 年 6 月 20 日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完成质量验证、部署固化、文档交付和答辩演示准备。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222222"/>
                <w:sz w:val="21"/>
                <w:szCs w:val="21"/>
              </w:rPr>
              <w:t xml:space="preserve">形成测试文档、部署文档、使用手册和软件工程交付文档集。</w:t>
            </w:r>
          </w:p>
        </w:tc>
      </w:tr>
    </w:tbl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文档集定位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正式交付文档集用于支撑项目答辩、软件验收、后续维护和团队交接。文档集以软件工程规范为主线，将产品体验、技术架构、前后端实现、智能体协作、数据库设计、数据流转、测试部署和用户使用纳入统一目录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目录规范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00-文档编制说明：保存文档集规范、命名规则、状态口径和规范依据。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01-总体设计类：保存 UIUX 设计说明与系统视觉风格设计。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02-前后端技术设计类：保存前端技术设计和后端 SDK 接入与接口设计。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03-智能体与数据架构类：保存多智能体协作、混合架构与数据库、数据流转与记忆层、个性化画像采集。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04-测试部署运维类：保存测试文档和部署文档。</w:t>
      </w:r>
    </w:p>
    <w:p>
      <w:pPr>
        <w:pStyle w:val="ListParagraph"/>
        <w:numPr>
          <w:ilvl w:val="0"/>
          <w:numId w:val="2"/>
        </w:numPr>
        <w:spacing w:after="80" w:before="40" w:line="33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05-用户使用与协作类：保存项目使用手册和开发协作指导文档。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术语规范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全文统一使用 StudyBuddy 指代改造后的本地学习伙伴内核，使用 CrewAI + StudyBuddy + 讯飞星辰 Agent 平台描述多智能体架构，使用 PostgreSQL / PolarDB PostgreSQL 描述数据库方案。文档不出现被替换的旧技术名称，不出现真实人名。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格式规范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所有文档均为 Word docx 格式，使用 A4 页面、标准页边距、页眉页脚、标题样式、自动目录、修订记录和术语表。正文以连续说明为主，表格只用于辅助表达字段、流程、角色和配置项。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质量属性与工程约束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可靠性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系统围绕学习闭环中的关键业务动作建立可靠性约束。画像采集、资源生成、AI 对话、练习判题、学习报告和教师端干预均应具备状态记录、错误提示、日志追踪和数据持久化。外部 SDK 调用失败时，后端统一转换为可解释的业务错误，避免将平台密钥、堆栈信息或模型内部错误暴露给同学A、教师A或评审专家A。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可维护性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SparkLearn 按前端页面层、后端 SDK 接入层、业务服务层、Agent 编排层、数据持久化层和外部平台接入层划分职责。前端不直接接触外部平台密钥，后端不把具体页面样式写入业务逻辑，Agent 编排不直接处理数据库迁移细节。分层设计使开发者A可以在局部修改资源生成、记忆策略或页面展示时，不破坏其他主链路。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可扩展性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系统允许新增资源类型、Agent 角色、外部工具、数据库字段和教师端分析指标。CrewAI 用于角色编排，StudyBuddy 用于本地工具执行，讯飞星辰 Agent 平台用于平台级智能体能力接入，PostgreSQL 用于结构化持久化，JSON/JSONL 用于事件流和调试回放。该组合为后续接入短信登录、OSS 存储、外部资料流、知识图谱和 Admin 端提供扩展基础。</w:t>
      </w:r>
    </w:p>
    <w:p>
      <w:pPr>
        <w:pStyle w:val="Heading2"/>
        <w:spacing w:after="120" w:before="22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F5597"/>
          <w:sz w:val="25"/>
          <w:szCs w:val="25"/>
        </w:rPr>
        <w:t xml:space="preserve">安全性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系统遵循最小必要原则处理用户数据。画像数据、学习事件、文件内容和对话记录均应按业务目的使用。密钥通过环境变量或部署配置管理，不写入文档正文、前端代码和版本库。文件上传、资源生成和工具调用均需要校验文件类型、大小、路径和任务权限。</w:t>
      </w:r>
    </w:p>
    <w:p>
      <w:pPr>
        <w:pStyle w:val="Heading1"/>
        <w:spacing w:after="180" w:before="26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0"/>
          <w:szCs w:val="30"/>
        </w:rPr>
        <w:t xml:space="preserve">与其他文档的关系</w:t>
      </w:r>
    </w:p>
    <w:p>
      <w:pPr>
        <w:spacing w:after="120" w:before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本文件是 SparkLearn 软件工程交付文档集的一部分。UIUX 文档定义体验和视觉规则；前端技术设计文档定义页面、组件和多模态渲染；后端 SDK 接入文档定义平台能力封装和业务接口边界；多智能体协作文档定义 CrewAI、StudyBuddy 与讯飞星辰 Agent 平台的任务协作；混合架构与数据库文档定义 PostgreSQL、JSON/JSONL 和画像表单；数据流转与记忆层文档定义学习数据如何进入 Agent 上下文；测试文档验证质量；部署文档确保系统可运行；使用手册面向同学A、教师A和评审专家A。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222222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80" w:line="360"/>
      <w:jc w:val="right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SparkLearn 软件工程交付文档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jc w:val="center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26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Microsoft YaHei" w:cs="Microsoft YaHei" w:eastAsia="Microsoft YaHei" w:hAnsi="Microsoft Ya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2026-05-30T01:25:35.208Z</dcterms:created>
  <dcterms:modified xsi:type="dcterms:W3CDTF">2026-05-30T01:25:35.210Z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