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软件工程文档编制说明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项目负责人A、开发者A、测试人员A、评审专家A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8567-2006《计算机软件文档编制规范》、ISO/IEC/IEEE 12207 软件生命周期过程、ISO/IEC/IEEE 15289 生命周期信息项、IEEE 1016 软件设计说明、ISO/IEC/IEEE 29119 软件测试文档。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正式交付文档集的目录结构、编写规则、术语口径、格式要求和软件工程规范依据。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SparkLearn 项目全部正式交付文档的编写、维护、校验和归档。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8567-2006《计算机软件文档编制规范》、ISO/IEC/IEEE 12207 软件生命周期过程、ISO/IEC/IEEE 15289 生命周期信息项、IEEE 1016 软件设计说明、ISO/IEC/IEEE 29119 软件测试文档。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文档集定位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正式交付文档集用于支撑项目答辩、软件验收、后续维护和团队交接。文档集以软件工程规范为主线，将产品体验、技术架构、前后端实现、智能体协作、数据库设计、数据流转、测试部署和用户使用纳入统一目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目录规范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00-文档编制说明：保存文档集规范、命名规则、状态口径和规范依据。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01-总体设计类：保存 UIUX 设计说明与系统视觉风格设计。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02-前后端技术设计类：保存前端技术设计和后端 SDK 接入与接口设计。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03-智能体与数据架构类：保存多智能体协作、混合架构与数据库、数据流转与记忆层、个性化画像采集。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04-测试部署运维类：保存测试文档和部署文档。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05-用户使用与协作类：保存项目使用手册和开发协作指导文档。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术语规范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全文统一使用 StudyBuddy 指代改造后的本地学习伙伴内核，使用 CrewAI + StudyBuddy + 讯飞星辰 Agent 平台描述多智能体架构，使用 PostgreSQL / PolarDB PostgreSQL 描述数据库方案。文档不出现被替换的旧技术名称，不出现真实人名。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格式规范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所有文档均为 Word docx 格式，使用 A4 页面、标准页边距、页眉页脚、标题样式、自动目录、修订记录和术语表。正文以连续说明为主，表格只用于辅助表达字段、流程、角色和配置项。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2026-05-30T01:25:21.982Z</dcterms:created>
  <dcterms:modified xsi:type="dcterms:W3CDTF">2026-05-30T01:25:21.984Z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