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SparkLearn 软件工程交付文档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开发协作指导文档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5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45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项目名称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SparkLearn 个性化学习多智能体平台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文档版本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V1.0 正式版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项目周期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2026 年 4 月 9 日 至 2026 年 6 月 20 日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适用对象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开发者A、测试人员A、产品负责人A、管理员A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规范依据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GB/T 8567-2006 软件开发计划、维护手册；ISO/IEC/IEEE 12207 软件生命周期过程。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人名处理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所有示例人员均采用“同学A、教师A、开发者A、管理员A、评审专家A”等占位称呼。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c>
          <w:tcPr>
            <w:tcW w:type="dxa" w:w="2282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版本</w:t>
            </w:r>
          </w:p>
        </w:tc>
        <w:tc>
          <w:tcPr>
            <w:tcW w:type="dxa" w:w="2282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日期</w:t>
            </w:r>
          </w:p>
        </w:tc>
        <w:tc>
          <w:tcPr>
            <w:tcW w:type="dxa" w:w="2282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修订说明</w:t>
            </w:r>
          </w:p>
        </w:tc>
        <w:tc>
          <w:tcPr>
            <w:tcW w:type="dxa" w:w="2282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修订人</w:t>
            </w:r>
          </w:p>
        </w:tc>
      </w:tr>
      <w:tr>
        <w:tc>
          <w:tcPr>
            <w:tcW w:type="dxa" w:w="2282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2282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2026-05-30</w:t>
            </w:r>
          </w:p>
        </w:tc>
        <w:tc>
          <w:tcPr>
            <w:tcW w:type="dxa" w:w="2282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依据软件工程交付规范形成正式版文档。</w:t>
            </w:r>
          </w:p>
        </w:tc>
        <w:tc>
          <w:tcPr>
            <w:tcW w:type="dxa" w:w="2282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开发者A</w:t>
            </w:r>
          </w:p>
        </w:tc>
      </w:tr>
    </w:tbl>
    <w:p>
      <w:pPr>
        <w:pStyle w:val="Heading1"/>
      </w:pPr>
      <w:r>
        <w:t>文档目的与范围</w:t>
      </w:r>
    </w:p>
    <w:p>
      <w:r>
        <w:rPr>
          <w:rFonts w:ascii="Microsoft YaHei" w:hAnsi="Microsoft YaHei" w:eastAsia="Microsoft YaHei"/>
          <w:b/>
          <w:sz w:val="21"/>
        </w:rPr>
        <w:t>文档目的：</w:t>
      </w:r>
      <w:r>
        <w:rPr>
          <w:rFonts w:ascii="Microsoft YaHei" w:hAnsi="Microsoft YaHei" w:eastAsia="Microsoft YaHei"/>
          <w:b w:val="0"/>
          <w:sz w:val="21"/>
        </w:rPr>
        <w:t>说明 SparkLearn 项目开发协作、任务分工、分支管理、联调流程、文档维护和质量检查规则。</w:t>
      </w:r>
    </w:p>
    <w:p>
      <w:r>
        <w:rPr>
          <w:rFonts w:ascii="Microsoft YaHei" w:hAnsi="Microsoft YaHei" w:eastAsia="Microsoft YaHei"/>
          <w:b/>
          <w:sz w:val="21"/>
        </w:rPr>
        <w:t>适用范围：</w:t>
      </w:r>
      <w:r>
        <w:rPr>
          <w:rFonts w:ascii="Microsoft YaHei" w:hAnsi="Microsoft YaHei" w:eastAsia="Microsoft YaHei"/>
          <w:b w:val="0"/>
          <w:sz w:val="21"/>
        </w:rPr>
        <w:t>本文件适用于 SparkLearn 在 2026 年 4 月 9 日 至 2026 年 6 月 20 日 项目周期内形成的设计、开发、测试、部署、演示和交付活动。</w:t>
      </w:r>
    </w:p>
    <w:p>
      <w:r>
        <w:rPr>
          <w:rFonts w:ascii="Microsoft YaHei" w:hAnsi="Microsoft YaHei" w:eastAsia="Microsoft YaHei"/>
          <w:b/>
          <w:sz w:val="21"/>
        </w:rPr>
        <w:t>规范依据：</w:t>
      </w:r>
      <w:r>
        <w:rPr>
          <w:rFonts w:ascii="Microsoft YaHei" w:hAnsi="Microsoft YaHei" w:eastAsia="Microsoft YaHei"/>
          <w:b w:val="0"/>
          <w:sz w:val="21"/>
        </w:rPr>
        <w:t>GB/T 8567-2006 软件开发计划、维护手册；ISO/IEC/IEEE 12207 软件生命周期过程。</w:t>
      </w:r>
    </w:p>
    <w:p>
      <w:pPr>
        <w:pStyle w:val="Heading1"/>
      </w:pPr>
      <w:r>
        <w:t>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5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术语</w:t>
            </w:r>
          </w:p>
        </w:tc>
        <w:tc>
          <w:tcPr>
            <w:tcW w:type="dxa" w:w="45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StudyBuddy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SparkLearn 对本地智能体运行时改造后的自研学习伙伴内核，用于任务执行、工具调用、学习陪伴和多步骤工作流编排。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CrewAI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用于多智能体角色编排、任务分派、协作执行和结果聚合的智能体协作框架。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讯飞星辰 Agent 平台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用于承接平台级智能体能力、资源生成、工具调度和教学任务执行的外部智能体平台。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讯飞星火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平台主要大模型能力来源，承担对话、生成、推理、内容优化等模型调用。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RAG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检索增强生成机制，通过知识库检索、证据片段注入和可信回答控制提升回答准确性。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PolarDB PostgreSQL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生产推荐数据库形态，承接用户画像、资源、对话、记忆、任务和业务事件等结构化数据。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JSON/JSONL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用于画像快照、事件流、Agent 记忆补充层和调试审计日志的轻量数据格式。</w:t>
            </w:r>
          </w:p>
        </w:tc>
      </w:tr>
    </w:tbl>
    <w:p>
      <w:pPr>
        <w:pStyle w:val="Heading1"/>
      </w:pPr>
      <w:r>
        <w:t>1. 协作目标</w:t>
      </w:r>
    </w:p>
    <w:p>
      <w:r>
        <w:rPr>
          <w:rFonts w:ascii="Microsoft YaHei" w:hAnsi="Microsoft YaHei" w:eastAsia="Microsoft YaHei"/>
          <w:b w:val="0"/>
          <w:sz w:val="21"/>
        </w:rPr>
        <w:t>开发协作以“功能可演示、代码可维护、数据可追踪、文档可交付”为目标。</w:t>
      </w:r>
    </w:p>
    <w:p>
      <w:r>
        <w:rPr>
          <w:rFonts w:ascii="Microsoft YaHei" w:hAnsi="Microsoft YaHei" w:eastAsia="Microsoft YaHei"/>
          <w:b w:val="0"/>
          <w:sz w:val="21"/>
        </w:rPr>
        <w:t>项目周期为 2026 年 4 月 9 日至 2026 年 6 月 20 日，开发者A、测试人员A、产品负责人A和管理员A按照阶段目标推进。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3043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3043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时间</w:t>
            </w:r>
          </w:p>
        </w:tc>
        <w:tc>
          <w:tcPr>
            <w:tcW w:type="dxa" w:w="3043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主要成果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启动与需求确认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2026-04-09 至 2026-04-18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完成赛题拆解、产品定位、功能树和核心闭环设计。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核心功能开发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2026-04-19 至 2026-05-12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完成画像、路径、资源生成、练习、报告、AI 对话等主链路。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智能体与数据深化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2026-05-13 至 2026-05-30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完成 CrewAI、StudyBuddy、讯飞星辰 Agent 平台融合，完成 PostgreSQL 迁移和记忆层重构。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测试优化与交付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2026-05-31 至 2026-06-20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完成测试验证、部署固化、文档交付、演示材料整理和答辩准备。</w:t>
            </w:r>
          </w:p>
        </w:tc>
      </w:tr>
    </w:tbl>
    <w:p>
      <w:pPr>
        <w:pStyle w:val="Heading1"/>
      </w:pPr>
      <w:r>
        <w:t>2. 分工规则</w:t>
      </w:r>
    </w:p>
    <w:p>
      <w:r>
        <w:rPr>
          <w:rFonts w:ascii="Microsoft YaHei" w:hAnsi="Microsoft YaHei" w:eastAsia="Microsoft YaHei"/>
          <w:b w:val="0"/>
          <w:sz w:val="21"/>
        </w:rPr>
        <w:t>前端开发者A负责页面、组件、多模态渲染、移动端适配和用户交互。</w:t>
      </w:r>
    </w:p>
    <w:p>
      <w:r>
        <w:rPr>
          <w:rFonts w:ascii="Microsoft YaHei" w:hAnsi="Microsoft YaHei" w:eastAsia="Microsoft YaHei"/>
          <w:b w:val="0"/>
          <w:sz w:val="21"/>
        </w:rPr>
        <w:t>后端开发者A负责 SDK 接入、业务接口、数据库、文件服务、RAG、防幻觉和资源任务。</w:t>
      </w:r>
    </w:p>
    <w:p>
      <w:r>
        <w:rPr>
          <w:rFonts w:ascii="Microsoft YaHei" w:hAnsi="Microsoft YaHei" w:eastAsia="Microsoft YaHei"/>
          <w:b w:val="0"/>
          <w:sz w:val="21"/>
        </w:rPr>
        <w:t>算法开发者A负责 CrewAI、StudyBuddy、讯飞星辰 Agent 平台协作、记忆层和工具扩展。</w:t>
      </w:r>
    </w:p>
    <w:p>
      <w:r>
        <w:rPr>
          <w:rFonts w:ascii="Microsoft YaHei" w:hAnsi="Microsoft YaHei" w:eastAsia="Microsoft YaHei"/>
          <w:b w:val="0"/>
          <w:sz w:val="21"/>
        </w:rPr>
        <w:t>测试人员A负责测试计划、测试用例、缺陷记录、回归验证和验收报告。</w:t>
      </w:r>
    </w:p>
    <w:p>
      <w:pPr>
        <w:pStyle w:val="Heading1"/>
      </w:pPr>
      <w:r>
        <w:t>3. 联调规范</w:t>
      </w:r>
    </w:p>
    <w:p>
      <w:r>
        <w:rPr>
          <w:rFonts w:ascii="Microsoft YaHei" w:hAnsi="Microsoft YaHei" w:eastAsia="Microsoft YaHei"/>
          <w:b w:val="0"/>
          <w:sz w:val="21"/>
        </w:rPr>
        <w:t>接口联调前需要确认请求字段、响应字段、错误码、流式事件类型和数据落库结果。</w:t>
      </w:r>
    </w:p>
    <w:p>
      <w:r>
        <w:rPr>
          <w:rFonts w:ascii="Microsoft YaHei" w:hAnsi="Microsoft YaHei" w:eastAsia="Microsoft YaHei"/>
          <w:b w:val="0"/>
          <w:sz w:val="21"/>
        </w:rPr>
        <w:t>多模态资源联调需要同时验证生成任务、前端渲染、资源沉淀和再次打开效果。</w:t>
      </w:r>
    </w:p>
    <w:p>
      <w:r>
        <w:rPr>
          <w:rFonts w:ascii="Microsoft YaHei" w:hAnsi="Microsoft YaHei" w:eastAsia="Microsoft YaHei"/>
          <w:b w:val="0"/>
          <w:sz w:val="21"/>
        </w:rPr>
        <w:t>Agent 联调需要保留任务 ID、执行步骤、工具调用和最终输出，便于定位问题。</w:t>
      </w:r>
    </w:p>
    <w:p>
      <w:pPr>
        <w:pStyle w:val="Heading1"/>
      </w:pPr>
      <w:r>
        <w:t>4. 文档维护</w:t>
      </w:r>
    </w:p>
    <w:p>
      <w:r>
        <w:rPr>
          <w:rFonts w:ascii="Microsoft YaHei" w:hAnsi="Microsoft YaHei" w:eastAsia="Microsoft YaHei"/>
          <w:b w:val="0"/>
          <w:sz w:val="21"/>
        </w:rPr>
        <w:t>设计变更必须同步更新对应交付文档，避免代码能力和材料描述不一致。</w:t>
      </w:r>
    </w:p>
    <w:p>
      <w:r>
        <w:rPr>
          <w:rFonts w:ascii="Microsoft YaHei" w:hAnsi="Microsoft YaHei" w:eastAsia="Microsoft YaHei"/>
          <w:b w:val="0"/>
          <w:sz w:val="21"/>
        </w:rPr>
        <w:t>所有文档中的示例人员统一使用同学A、教师A、管理员A、开发者A和评审专家A。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3043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质量属性</w:t>
            </w:r>
          </w:p>
        </w:tc>
        <w:tc>
          <w:tcPr>
            <w:tcW w:type="dxa" w:w="3043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设计要求</w:t>
            </w:r>
          </w:p>
        </w:tc>
        <w:tc>
          <w:tcPr>
            <w:tcW w:type="dxa" w:w="3043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落地方式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可靠性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核心链路应支持异常兜底、错误提示和日志追踪。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PostgreSQL 持久化、JSONL 事件流、Agent 执行日志、可信回答控制。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可维护性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模块职责清晰，SDK 接入、业务接口、Agent 编排分层。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前端页面分层、后端路由分层、StudyBuddy 工具层独立。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可扩展性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可新增智能体、资源类型、外部工具和数据源。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CrewAI 编排、StudyBuddy 工具插件、讯飞星辰 Agent 平台能力扩展。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安全性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密钥不进入文档正文，用户数据按最小必要原则使用。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.env 管理凭据、数据库权限隔离、接口输入校验。</w:t>
            </w:r>
          </w:p>
        </w:tc>
      </w:tr>
    </w:tbl>
    <w:p>
      <w:pPr>
        <w:sectPr>
          <w:pgSz w:w="11906" w:h="16838"/>
          <w:pgMar w:top="1361" w:right="1304" w:bottom="1247" w:left="1474" w:header="720" w:footer="720" w:gutter="0"/>
          <w:cols w:space="720"/>
          <w:docGrid w:linePitch="360"/>
        </w:sectPr>
      </w:pPr>
    </w:p>
    <w:p>
      <w:pPr>
        <w:pStyle w:val="Heading1"/>
      </w:pPr>
      <w:r>
        <w:t>附录：文档关系</w:t>
      </w:r>
    </w:p>
    <w:p>
      <w:r>
        <w:rPr>
          <w:rFonts w:ascii="Microsoft YaHei" w:hAnsi="Microsoft YaHei" w:eastAsia="Microsoft YaHei"/>
          <w:b w:val="0"/>
          <w:sz w:val="21"/>
        </w:rPr>
        <w:t>本文件与 SparkLearn 其他交付文档共同构成软件工程文档集。总体设计类文档说明系统边界和设计原则；技术设计类文档说明前后端与 SDK 接入；智能体与数据架构类文档说明 Agent 协作、数据模型和记忆层；测试部署运维类文档说明质量保障与运行环境；用户使用与协作类文档说明使用流程和团队协作规则。</w:t>
      </w:r>
    </w:p>
    <w:sectPr w:rsidR="00FC693F" w:rsidRPr="0006063C" w:rsidSect="00034616">
      <w:pgSz w:w="11906" w:h="16838"/>
      <w:pgMar w:top="1361" w:right="130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