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SparkLearn 软件工程交付文档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项目使用手册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4"/>
        <w:gridCol w:w="4564"/>
      </w:tblGrid>
      <w:tr>
        <w:tc>
          <w:tcPr>
            <w:tcW w:type="dxa" w:w="4564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项目</w:t>
            </w:r>
          </w:p>
        </w:tc>
        <w:tc>
          <w:tcPr>
            <w:tcW w:type="dxa" w:w="4564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内容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项目名称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SparkLearn 个性化学习多智能体平台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文档版本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V1.0 正式版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项目周期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2026 年 4 月 9 日 至 2026 年 6 月 20 日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适用对象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同学A、教师A、管理员A、评审专家A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规范依据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GB/T 8567-2006 用户手册、操作手册。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人名处理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所有示例人员均采用“同学A、教师A、开发者A、管理员A、评审专家A”等占位称呼。</w:t>
            </w:r>
          </w:p>
        </w:tc>
      </w:tr>
    </w:tbl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c>
          <w:tcPr>
            <w:tcW w:type="dxa" w:w="2282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版本</w:t>
            </w:r>
          </w:p>
        </w:tc>
        <w:tc>
          <w:tcPr>
            <w:tcW w:type="dxa" w:w="2282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日期</w:t>
            </w:r>
          </w:p>
        </w:tc>
        <w:tc>
          <w:tcPr>
            <w:tcW w:type="dxa" w:w="2282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修订说明</w:t>
            </w:r>
          </w:p>
        </w:tc>
        <w:tc>
          <w:tcPr>
            <w:tcW w:type="dxa" w:w="2282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修订人</w:t>
            </w:r>
          </w:p>
        </w:tc>
      </w:tr>
      <w:tr>
        <w:tc>
          <w:tcPr>
            <w:tcW w:type="dxa" w:w="2282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2282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2026-05-30</w:t>
            </w:r>
          </w:p>
        </w:tc>
        <w:tc>
          <w:tcPr>
            <w:tcW w:type="dxa" w:w="2282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依据软件工程交付规范形成正式版文档。</w:t>
            </w:r>
          </w:p>
        </w:tc>
        <w:tc>
          <w:tcPr>
            <w:tcW w:type="dxa" w:w="2282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开发者A</w:t>
            </w:r>
          </w:p>
        </w:tc>
      </w:tr>
    </w:tbl>
    <w:p>
      <w:pPr>
        <w:pStyle w:val="Heading1"/>
      </w:pPr>
      <w:r>
        <w:t>文档目的与范围</w:t>
      </w:r>
    </w:p>
    <w:p>
      <w:r>
        <w:rPr>
          <w:rFonts w:ascii="Microsoft YaHei" w:hAnsi="Microsoft YaHei" w:eastAsia="Microsoft YaHei"/>
          <w:b/>
          <w:sz w:val="21"/>
        </w:rPr>
        <w:t>文档目的：</w:t>
      </w:r>
      <w:r>
        <w:rPr>
          <w:rFonts w:ascii="Microsoft YaHei" w:hAnsi="Microsoft YaHei" w:eastAsia="Microsoft YaHei"/>
          <w:b w:val="0"/>
          <w:sz w:val="21"/>
        </w:rPr>
        <w:t>面向普通使用者、教师、管理员和评审专家说明 SparkLearn 的主要功能、操作路径和演示流程。</w:t>
      </w:r>
    </w:p>
    <w:p>
      <w:r>
        <w:rPr>
          <w:rFonts w:ascii="Microsoft YaHei" w:hAnsi="Microsoft YaHei" w:eastAsia="Microsoft YaHei"/>
          <w:b/>
          <w:sz w:val="21"/>
        </w:rPr>
        <w:t>适用范围：</w:t>
      </w:r>
      <w:r>
        <w:rPr>
          <w:rFonts w:ascii="Microsoft YaHei" w:hAnsi="Microsoft YaHei" w:eastAsia="Microsoft YaHei"/>
          <w:b w:val="0"/>
          <w:sz w:val="21"/>
        </w:rPr>
        <w:t>本文件适用于 SparkLearn 在 2026 年 4 月 9 日 至 2026 年 6 月 20 日 项目周期内形成的设计、开发、测试、部署、演示和交付活动。</w:t>
      </w:r>
    </w:p>
    <w:p>
      <w:r>
        <w:rPr>
          <w:rFonts w:ascii="Microsoft YaHei" w:hAnsi="Microsoft YaHei" w:eastAsia="Microsoft YaHei"/>
          <w:b/>
          <w:sz w:val="21"/>
        </w:rPr>
        <w:t>规范依据：</w:t>
      </w:r>
      <w:r>
        <w:rPr>
          <w:rFonts w:ascii="Microsoft YaHei" w:hAnsi="Microsoft YaHei" w:eastAsia="Microsoft YaHei"/>
          <w:b w:val="0"/>
          <w:sz w:val="21"/>
        </w:rPr>
        <w:t>GB/T 8567-2006 用户手册、操作手册。</w:t>
      </w:r>
    </w:p>
    <w:p>
      <w:pPr>
        <w:pStyle w:val="Heading1"/>
      </w:pPr>
      <w:r>
        <w:t>术语与缩略语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4"/>
        <w:gridCol w:w="4564"/>
      </w:tblGrid>
      <w:tr>
        <w:tc>
          <w:tcPr>
            <w:tcW w:type="dxa" w:w="4564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术语</w:t>
            </w:r>
          </w:p>
        </w:tc>
        <w:tc>
          <w:tcPr>
            <w:tcW w:type="dxa" w:w="4564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StudyBuddy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SparkLearn 对本地智能体运行时改造后的自研学习伙伴内核，用于任务执行、工具调用、学习陪伴和多步骤工作流编排。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CrewAI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用于多智能体角色编排、任务分派、协作执行和结果聚合的智能体协作框架。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讯飞星辰 Agent 平台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用于承接平台级智能体能力、资源生成、工具调度和教学任务执行的外部智能体平台。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讯飞星火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平台主要大模型能力来源，承担对话、生成、推理、内容优化等模型调用。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RAG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检索增强生成机制，通过知识库检索、证据片段注入和可信回答控制提升回答准确性。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PolarDB PostgreSQL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生产推荐数据库形态，承接用户画像、资源、对话、记忆、任务和业务事件等结构化数据。</w:t>
            </w:r>
          </w:p>
        </w:tc>
      </w:tr>
      <w:tr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JSON/JSONL</w:t>
            </w:r>
          </w:p>
        </w:tc>
        <w:tc>
          <w:tcPr>
            <w:tcW w:type="dxa" w:w="4564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用于画像快照、事件流、Agent 记忆补充层和调试审计日志的轻量数据格式。</w:t>
            </w:r>
          </w:p>
        </w:tc>
      </w:tr>
    </w:tbl>
    <w:p>
      <w:pPr>
        <w:pStyle w:val="Heading1"/>
      </w:pPr>
      <w:r>
        <w:t>1. 产品概述</w:t>
      </w:r>
    </w:p>
    <w:p>
      <w:r>
        <w:rPr>
          <w:rFonts w:ascii="Microsoft YaHei" w:hAnsi="Microsoft YaHei" w:eastAsia="Microsoft YaHei"/>
          <w:b w:val="0"/>
          <w:sz w:val="21"/>
        </w:rPr>
        <w:t>SparkLearn 是面向个性化学习的多智能体平台，提供画像采集、学习路径、资源生成、AI 辅导、练习评测、学习报告和教师干预等功能。</w:t>
      </w:r>
    </w:p>
    <w:p>
      <w:r>
        <w:rPr>
          <w:rFonts w:ascii="Microsoft YaHei" w:hAnsi="Microsoft YaHei" w:eastAsia="Microsoft YaHei"/>
          <w:b w:val="0"/>
          <w:sz w:val="21"/>
        </w:rPr>
        <w:t>项目周期为 2026 年 4 月 9 日至 2026 年 6 月 20 日，交付目标是形成可演示、可测试、可部署和可扩展的软件系统。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c>
          <w:tcPr>
            <w:tcW w:type="dxa" w:w="3043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角色</w:t>
            </w:r>
          </w:p>
        </w:tc>
        <w:tc>
          <w:tcPr>
            <w:tcW w:type="dxa" w:w="3043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职责</w:t>
            </w:r>
          </w:p>
        </w:tc>
        <w:tc>
          <w:tcPr>
            <w:tcW w:type="dxa" w:w="3043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典型操作</w:t>
            </w:r>
          </w:p>
        </w:tc>
      </w:tr>
      <w:tr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同学A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完成画像采集、学习路径查看、多模态资源学习、练习评测和学习报告查看。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提交表单、上传资料、发起 AI 对话、生成资源。</w:t>
            </w:r>
          </w:p>
        </w:tc>
      </w:tr>
      <w:tr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教师A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查看班级学习状态、进行教学干预、分发资源并跟踪学习效果。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查看大屏、筛选学生、推送资源、查看报告。</w:t>
            </w:r>
          </w:p>
        </w:tc>
      </w:tr>
      <w:tr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管理员A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维护平台配置、数据库、SDK 凭据、部署环境和运行监控。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配置 PostgreSQL、维护密钥、处理部署问题。</w:t>
            </w:r>
          </w:p>
        </w:tc>
      </w:tr>
      <w:tr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开发者A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维护前后端、智能体、数据库、测试和交付文档。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提交代码、联调 SDK、扩展 Agent 工具。</w:t>
            </w:r>
          </w:p>
        </w:tc>
      </w:tr>
    </w:tbl>
    <w:p>
      <w:pPr>
        <w:pStyle w:val="Heading1"/>
      </w:pPr>
      <w:r>
        <w:t>2. 学生端使用流程</w:t>
      </w:r>
    </w:p>
    <w:p>
      <w:r>
        <w:rPr>
          <w:rFonts w:ascii="Microsoft YaHei" w:hAnsi="Microsoft YaHei" w:eastAsia="Microsoft YaHei"/>
          <w:b w:val="0"/>
          <w:sz w:val="21"/>
        </w:rPr>
        <w:t>同学A进入平台后先完成画像采集，可通过问卷、对话或多模态输入建立学习档案。</w:t>
      </w:r>
    </w:p>
    <w:p>
      <w:r>
        <w:rPr>
          <w:rFonts w:ascii="Microsoft YaHei" w:hAnsi="Microsoft YaHei" w:eastAsia="Microsoft YaHei"/>
          <w:b w:val="0"/>
          <w:sz w:val="21"/>
        </w:rPr>
        <w:t>同学A进入学习路径页面查看当前阶段、知识点节点、推荐资源和后续学习建议。</w:t>
      </w:r>
    </w:p>
    <w:p>
      <w:r>
        <w:rPr>
          <w:rFonts w:ascii="Microsoft YaHei" w:hAnsi="Microsoft YaHei" w:eastAsia="Microsoft YaHei"/>
          <w:b w:val="0"/>
          <w:sz w:val="21"/>
        </w:rPr>
        <w:t>同学A可以生成文档、PPT、视频、图片、代码案例和练习题等多模态资源，并在资源库中沉淀复用。</w:t>
      </w:r>
    </w:p>
    <w:p>
      <w:r>
        <w:rPr>
          <w:rFonts w:ascii="Microsoft YaHei" w:hAnsi="Microsoft YaHei" w:eastAsia="Microsoft YaHei"/>
          <w:b w:val="0"/>
          <w:sz w:val="21"/>
        </w:rPr>
        <w:t>同学A可以在任意页面打开 AI 对话，上传文件、提问、生成图片、查看证据来源并继续追问。</w:t>
      </w:r>
    </w:p>
    <w:p>
      <w:r>
        <w:rPr>
          <w:rFonts w:ascii="Microsoft YaHei" w:hAnsi="Microsoft YaHei" w:eastAsia="Microsoft YaHei"/>
          <w:b w:val="0"/>
          <w:sz w:val="21"/>
        </w:rPr>
        <w:t>同学A完成练习后查看判题结果、错题记录、掌握度变化和学习报告。</w:t>
      </w:r>
    </w:p>
    <w:p>
      <w:pPr>
        <w:pStyle w:val="Heading1"/>
      </w:pPr>
      <w:r>
        <w:t>3. 教师端使用流程</w:t>
      </w:r>
    </w:p>
    <w:p>
      <w:r>
        <w:rPr>
          <w:rFonts w:ascii="Microsoft YaHei" w:hAnsi="Microsoft YaHei" w:eastAsia="Microsoft YaHei"/>
          <w:b w:val="0"/>
          <w:sz w:val="21"/>
        </w:rPr>
        <w:t>教师A进入教师端后查看班级总览、学生分布、薄弱知识点、学习活跃度和报告摘要。</w:t>
      </w:r>
    </w:p>
    <w:p>
      <w:r>
        <w:rPr>
          <w:rFonts w:ascii="Microsoft YaHei" w:hAnsi="Microsoft YaHei" w:eastAsia="Microsoft YaHei"/>
          <w:b w:val="0"/>
          <w:sz w:val="21"/>
        </w:rPr>
        <w:t>教师A可以打开学生详情，查看同学A的画像、路径、练习结果和干预建议。</w:t>
      </w:r>
    </w:p>
    <w:p>
      <w:r>
        <w:rPr>
          <w:rFonts w:ascii="Microsoft YaHei" w:hAnsi="Microsoft YaHei" w:eastAsia="Microsoft YaHei"/>
          <w:b w:val="0"/>
          <w:sz w:val="21"/>
        </w:rPr>
        <w:t>教师A可以选择资料分发对象，向指定学生或班级推送学习资源。</w:t>
      </w:r>
    </w:p>
    <w:p>
      <w:pPr>
        <w:pStyle w:val="Heading1"/>
      </w:pPr>
      <w:r>
        <w:t>4. 管理与演示流程</w:t>
      </w:r>
    </w:p>
    <w:p>
      <w:r>
        <w:rPr>
          <w:rFonts w:ascii="Microsoft YaHei" w:hAnsi="Microsoft YaHei" w:eastAsia="Microsoft YaHei"/>
          <w:b w:val="0"/>
          <w:sz w:val="21"/>
        </w:rPr>
        <w:t>管理员A负责配置数据库、SDK 凭据、资源目录和运行环境。</w:t>
      </w:r>
    </w:p>
    <w:p>
      <w:r>
        <w:rPr>
          <w:rFonts w:ascii="Microsoft YaHei" w:hAnsi="Microsoft YaHei" w:eastAsia="Microsoft YaHei"/>
          <w:b w:val="0"/>
          <w:sz w:val="21"/>
        </w:rPr>
        <w:t>评审专家A可按“画像 -&gt; 路径 -&gt; 资源 -&gt; 对话 -&gt; 练习 -&gt; 报告 -&gt; 教师端”的顺序体验完整闭环。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c>
          <w:tcPr>
            <w:tcW w:type="dxa" w:w="3043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质量属性</w:t>
            </w:r>
          </w:p>
        </w:tc>
        <w:tc>
          <w:tcPr>
            <w:tcW w:type="dxa" w:w="3043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设计要求</w:t>
            </w:r>
          </w:p>
        </w:tc>
        <w:tc>
          <w:tcPr>
            <w:tcW w:type="dxa" w:w="3043"/>
            <w:shd w:fill="D9EAF7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落地方式</w:t>
            </w:r>
          </w:p>
        </w:tc>
      </w:tr>
      <w:tr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可靠性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核心链路应支持异常兜底、错误提示和日志追踪。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PostgreSQL 持久化、JSONL 事件流、Agent 执行日志、可信回答控制。</w:t>
            </w:r>
          </w:p>
        </w:tc>
      </w:tr>
      <w:tr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可维护性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模块职责清晰，SDK 接入、业务接口、Agent 编排分层。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前端页面分层、后端路由分层、StudyBuddy 工具层独立。</w:t>
            </w:r>
          </w:p>
        </w:tc>
      </w:tr>
      <w:tr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可扩展性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可新增智能体、资源类型、外部工具和数据源。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CrewAI 编排、StudyBuddy 工具插件、讯飞星辰 Agent 平台能力扩展。</w:t>
            </w:r>
          </w:p>
        </w:tc>
      </w:tr>
      <w:tr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安全性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密钥不进入文档正文，用户数据按最小必要原则使用。</w:t>
            </w:r>
          </w:p>
        </w:tc>
        <w:tc>
          <w:tcPr>
            <w:tcW w:type="dxa" w:w="3043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.env 管理凭据、数据库权限隔离、接口输入校验。</w:t>
            </w:r>
          </w:p>
        </w:tc>
      </w:tr>
    </w:tbl>
    <w:p>
      <w:pPr>
        <w:sectPr>
          <w:pgSz w:w="11906" w:h="16838"/>
          <w:pgMar w:top="1361" w:right="1304" w:bottom="1247" w:left="1474" w:header="720" w:footer="720" w:gutter="0"/>
          <w:cols w:space="720"/>
          <w:docGrid w:linePitch="360"/>
        </w:sectPr>
      </w:pPr>
    </w:p>
    <w:p>
      <w:pPr>
        <w:pStyle w:val="Heading1"/>
      </w:pPr>
      <w:r>
        <w:t>附录：文档关系</w:t>
      </w:r>
    </w:p>
    <w:p>
      <w:r>
        <w:rPr>
          <w:rFonts w:ascii="Microsoft YaHei" w:hAnsi="Microsoft YaHei" w:eastAsia="Microsoft YaHei"/>
          <w:b w:val="0"/>
          <w:sz w:val="21"/>
        </w:rPr>
        <w:t>本文件与 SparkLearn 其他交付文档共同构成软件工程文档集。总体设计类文档说明系统边界和设计原则；技术设计类文档说明前后端与 SDK 接入；智能体与数据架构类文档说明 Agent 协作、数据模型和记忆层；测试部署运维类文档说明质量保障与运行环境；用户使用与协作类文档说明使用流程和团队协作规则。</w:t>
      </w:r>
    </w:p>
    <w:sectPr w:rsidR="00FC693F" w:rsidRPr="0006063C" w:rsidSect="00034616">
      <w:pgSz w:w="11906" w:h="16838"/>
      <w:pgMar w:top="1361" w:right="130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