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66"/>
        <w:gridCol w:w="8182"/>
        <w:gridCol w:w="12"/>
      </w:tblGrid>
      <w:tr>
        <w:trPr/>
        <w:tc>
          <w:tcPr>
            <w:tcW w:w="1166" w:type="dxa"/>
            <w:tcBorders>
              <w:bottom w:val="single" w:sz="4" w:space="0" w:color="FFFFFF"/>
            </w:tcBorders>
            <w:shd w:color="auto" w:fill="002951" w:val="clear"/>
          </w:tcPr>
          <w:p>
            <w:pPr>
              <w:pStyle w:val="Normal"/>
              <w:widowControl/>
              <w:spacing w:lineRule="auto" w:line="268" w:before="40" w:after="40"/>
              <w:jc w:val="left"/>
              <w:rPr>
                <w:rFonts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kern w:val="0"/>
                <w:sz w:val="20"/>
                <w:szCs w:val="20"/>
                <w:lang w:val="en-US" w:bidi="ar-SA"/>
              </w:rPr>
              <w:t>Strength</w:t>
            </w:r>
          </w:p>
        </w:tc>
        <w:tc>
          <w:tcPr>
            <w:tcW w:w="8194" w:type="dxa"/>
            <w:gridSpan w:val="2"/>
            <w:tcBorders/>
          </w:tcPr>
          <w:p>
            <w:pPr>
              <w:pStyle w:val="Normal"/>
              <w:widowControl/>
              <w:spacing w:lineRule="auto" w:line="268" w:before="40" w:after="40"/>
              <w:jc w:val="left"/>
              <w:rPr>
                <w:rFonts w:cs="Arial"/>
                <w:b/>
                <w:b/>
                <w:sz w:val="20"/>
                <w:szCs w:val="20"/>
                <w:u w:val="single"/>
              </w:rPr>
            </w:pPr>
            <w:r>
              <w:rPr>
                <w:rFonts w:cs="Arial"/>
                <w:b/>
                <w:kern w:val="0"/>
                <w:sz w:val="20"/>
                <w:szCs w:val="20"/>
                <w:u w:val="single"/>
                <w:lang w:val="en-US" w:bidi="ar-SA"/>
              </w:rPr>
              <w:t>Strong Growth</w:t>
            </w:r>
          </w:p>
          <w:p>
            <w:pPr>
              <w:pStyle w:val="Normal"/>
              <w:widowControl/>
              <w:spacing w:lineRule="auto" w:line="268" w:before="40" w:after="40"/>
              <w:jc w:val="left"/>
              <w:rPr>
                <w:rFonts w:cs="Arial"/>
              </w:rPr>
            </w:pPr>
            <w:r>
              <w:rPr>
                <w:rFonts w:cs="Arial"/>
                <w:kern w:val="0"/>
                <w:sz w:val="20"/>
                <w:szCs w:val="20"/>
                <w:lang w:val="en-US" w:bidi="ar-SA"/>
              </w:rPr>
              <w:t>Post merger, there is higher projected growth and improved margins.</w:t>
            </w:r>
          </w:p>
          <w:p>
            <w:pPr>
              <w:pStyle w:val="Normal"/>
              <w:widowControl/>
              <w:spacing w:lineRule="auto" w:line="268" w:before="40" w:after="4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kern w:val="0"/>
                <w:sz w:val="20"/>
                <w:szCs w:val="20"/>
                <w:lang w:val="en-US" w:bidi="ar-SA"/>
              </w:rPr>
            </w:r>
          </w:p>
        </w:tc>
      </w:tr>
      <w:tr>
        <w:trPr/>
        <w:tc>
          <w:tcPr>
            <w:tcW w:w="11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002951" w:val="clear"/>
          </w:tcPr>
          <w:p>
            <w:pPr>
              <w:pStyle w:val="Normal"/>
              <w:widowControl/>
              <w:spacing w:lineRule="auto" w:line="268" w:before="40" w:after="40"/>
              <w:jc w:val="left"/>
              <w:rPr>
                <w:rFonts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kern w:val="0"/>
                <w:sz w:val="20"/>
                <w:szCs w:val="20"/>
                <w:lang w:val="en-US" w:bidi="ar-SA"/>
              </w:rPr>
              <w:t>Strength</w:t>
            </w:r>
          </w:p>
        </w:tc>
        <w:tc>
          <w:tcPr>
            <w:tcW w:w="8194" w:type="dxa"/>
            <w:gridSpan w:val="2"/>
            <w:tcBorders>
              <w:left w:val="single" w:sz="4" w:space="0" w:color="FFFFFF"/>
            </w:tcBorders>
          </w:tcPr>
          <w:p>
            <w:pPr>
              <w:pStyle w:val="Normal"/>
              <w:widowControl/>
              <w:spacing w:lineRule="auto" w:line="268" w:before="40" w:after="40"/>
              <w:jc w:val="left"/>
              <w:rPr>
                <w:rFonts w:cs="Arial"/>
                <w:b/>
                <w:b/>
                <w:sz w:val="20"/>
                <w:szCs w:val="20"/>
                <w:u w:val="single"/>
              </w:rPr>
            </w:pPr>
            <w:r>
              <w:rPr>
                <w:rFonts w:cs="Arial"/>
                <w:b/>
                <w:kern w:val="0"/>
                <w:sz w:val="20"/>
                <w:szCs w:val="20"/>
                <w:u w:val="single"/>
                <w:lang w:val="en-US" w:bidi="ar-SA"/>
              </w:rPr>
              <w:t>Strong Net leverage Ratio</w:t>
            </w:r>
          </w:p>
          <w:p>
            <w:pPr>
              <w:pStyle w:val="Normal"/>
              <w:widowControl/>
              <w:spacing w:lineRule="auto" w:line="268" w:before="40" w:after="4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kern w:val="0"/>
                <w:sz w:val="20"/>
                <w:szCs w:val="20"/>
                <w:lang w:val="en-US" w:bidi="ar-SA"/>
              </w:rPr>
              <w:t>Pre and post merger, this ratio is below 5 (HSBC’s risk appetite), indicating a strong credit financials.</w:t>
            </w:r>
          </w:p>
          <w:p>
            <w:pPr>
              <w:pStyle w:val="Normal"/>
              <w:widowControl/>
              <w:spacing w:lineRule="auto" w:line="268" w:before="40" w:after="4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kern w:val="0"/>
                <w:sz w:val="20"/>
                <w:szCs w:val="20"/>
                <w:lang w:val="en-US" w:bidi="ar-SA"/>
              </w:rPr>
              <w:t xml:space="preserve"> </w:t>
            </w:r>
          </w:p>
        </w:tc>
      </w:tr>
      <w:tr>
        <w:trPr/>
        <w:tc>
          <w:tcPr>
            <w:tcW w:w="11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002951" w:val="clear"/>
          </w:tcPr>
          <w:p>
            <w:pPr>
              <w:pStyle w:val="Normal"/>
              <w:widowControl/>
              <w:spacing w:lineRule="auto" w:line="268" w:before="40" w:after="40"/>
              <w:jc w:val="left"/>
              <w:rPr>
                <w:rFonts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kern w:val="0"/>
                <w:sz w:val="20"/>
                <w:szCs w:val="20"/>
                <w:lang w:val="en-US" w:bidi="ar-SA"/>
              </w:rPr>
              <w:t>Strength</w:t>
            </w:r>
          </w:p>
        </w:tc>
        <w:tc>
          <w:tcPr>
            <w:tcW w:w="8182" w:type="dxa"/>
            <w:tcBorders>
              <w:left w:val="single" w:sz="4" w:space="0" w:color="FFFFFF"/>
            </w:tcBorders>
          </w:tcPr>
          <w:p>
            <w:pPr>
              <w:pStyle w:val="Normal"/>
              <w:widowControl/>
              <w:spacing w:lineRule="auto" w:line="268" w:before="40" w:after="40"/>
              <w:jc w:val="left"/>
              <w:rPr>
                <w:rFonts w:cs="Arial"/>
              </w:rPr>
            </w:pPr>
            <w:r>
              <w:rPr>
                <w:rFonts w:cs="Arial"/>
                <w:b/>
                <w:kern w:val="0"/>
                <w:sz w:val="20"/>
                <w:szCs w:val="20"/>
                <w:u w:val="single"/>
                <w:lang w:val="en-US" w:bidi="ar-SA"/>
              </w:rPr>
              <w:t>Strong Interest Coverage Ratio</w:t>
            </w:r>
            <w:r>
              <w:rPr>
                <w:rFonts w:cs="Arial"/>
                <w:kern w:val="0"/>
                <w:sz w:val="20"/>
                <w:szCs w:val="20"/>
                <w:lang w:val="en-US" w:bidi="ar-SA"/>
              </w:rPr>
              <w:br/>
            </w:r>
            <w:r>
              <w:rPr>
                <w:rFonts w:cs="Arial"/>
                <w:kern w:val="0"/>
                <w:sz w:val="20"/>
                <w:szCs w:val="20"/>
                <w:lang w:val="en-US" w:bidi="ar-SA"/>
              </w:rPr>
              <w:t>Again, pre and post merger, this ratio is above 2 (HSBC’s risk appetite), indicating strong credit financials.</w:t>
            </w:r>
          </w:p>
          <w:p>
            <w:pPr>
              <w:pStyle w:val="Normal"/>
              <w:widowControl/>
              <w:spacing w:lineRule="auto" w:line="268" w:before="40" w:after="40"/>
              <w:jc w:val="left"/>
              <w:rPr>
                <w:rFonts w:cs="Arial"/>
              </w:rPr>
            </w:pPr>
            <w:r>
              <w:rPr>
                <w:rFonts w:cs="Arial"/>
                <w:kern w:val="0"/>
                <w:lang w:val="en-US" w:bidi="ar-SA"/>
              </w:rPr>
            </w:r>
          </w:p>
        </w:tc>
        <w:tc>
          <w:tcPr>
            <w:tcW w:w="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bidi="ar-SA"/>
              </w:rPr>
            </w:pPr>
            <w:r>
              <w:rPr>
                <w:kern w:val="0"/>
                <w:lang w:val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66"/>
        <w:gridCol w:w="8193"/>
      </w:tblGrid>
      <w:tr>
        <w:trPr/>
        <w:tc>
          <w:tcPr>
            <w:tcW w:w="1166" w:type="dxa"/>
            <w:tcBorders>
              <w:bottom w:val="single" w:sz="4" w:space="0" w:color="FFFFFF"/>
            </w:tcBorders>
            <w:shd w:color="auto" w:fill="002951" w:val="clear"/>
          </w:tcPr>
          <w:p>
            <w:pPr>
              <w:pStyle w:val="Normal"/>
              <w:widowControl/>
              <w:spacing w:lineRule="auto" w:line="268" w:before="40" w:after="40"/>
              <w:jc w:val="left"/>
              <w:rPr>
                <w:rFonts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kern w:val="0"/>
                <w:sz w:val="20"/>
                <w:szCs w:val="20"/>
                <w:lang w:val="en-US" w:bidi="ar-SA"/>
              </w:rPr>
              <w:t>Risk</w:t>
            </w:r>
          </w:p>
        </w:tc>
        <w:tc>
          <w:tcPr>
            <w:tcW w:w="8193" w:type="dxa"/>
            <w:tcBorders/>
          </w:tcPr>
          <w:p>
            <w:pPr>
              <w:pStyle w:val="Normal"/>
              <w:widowControl/>
              <w:spacing w:lineRule="auto" w:line="268" w:before="40" w:after="40"/>
              <w:jc w:val="left"/>
              <w:rPr>
                <w:rFonts w:cs="Arial"/>
                <w:b/>
                <w:b/>
                <w:sz w:val="20"/>
                <w:szCs w:val="20"/>
                <w:u w:val="single"/>
              </w:rPr>
            </w:pPr>
            <w:r>
              <w:rPr>
                <w:rFonts w:cs="Arial"/>
                <w:b/>
                <w:kern w:val="0"/>
                <w:sz w:val="20"/>
                <w:szCs w:val="20"/>
                <w:u w:val="single"/>
                <w:lang w:val="en-US" w:bidi="ar-SA"/>
              </w:rPr>
              <w:t>Financial Risk</w:t>
            </w:r>
          </w:p>
          <w:p>
            <w:pPr>
              <w:pStyle w:val="Normal"/>
              <w:widowControl/>
              <w:spacing w:lineRule="auto" w:line="268" w:before="40" w:after="4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kern w:val="0"/>
                <w:sz w:val="20"/>
                <w:szCs w:val="20"/>
                <w:lang w:val="en-US" w:bidi="ar-SA"/>
              </w:rPr>
              <w:t>Using leverage for the acquisition could impact margins and Rocketfuels financial standing.</w:t>
            </w:r>
          </w:p>
          <w:p>
            <w:pPr>
              <w:pStyle w:val="Normal"/>
              <w:widowControl/>
              <w:spacing w:lineRule="auto" w:line="268" w:before="40" w:after="40"/>
              <w:jc w:val="left"/>
              <w:rPr>
                <w:rFonts w:cs="Arial"/>
                <w:b/>
                <w:b/>
                <w:sz w:val="20"/>
                <w:szCs w:val="20"/>
                <w:u w:val="single"/>
              </w:rPr>
            </w:pPr>
            <w:r>
              <w:rPr>
                <w:rFonts w:cs="Arial"/>
                <w:b/>
                <w:kern w:val="0"/>
                <w:sz w:val="20"/>
                <w:szCs w:val="20"/>
                <w:u w:val="single"/>
                <w:lang w:val="en-US" w:bidi="ar-SA"/>
              </w:rPr>
              <w:t>Mitigant(s)</w:t>
            </w:r>
          </w:p>
          <w:p>
            <w:pPr>
              <w:pStyle w:val="Normal"/>
              <w:widowControl/>
              <w:spacing w:lineRule="auto" w:line="268" w:before="40" w:after="4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kern w:val="0"/>
                <w:sz w:val="20"/>
                <w:szCs w:val="20"/>
                <w:lang w:val="en-US" w:bidi="ar-SA"/>
              </w:rPr>
              <w:t>The company would be in a strong financial position post merger, reducing the risk of bankruptcy and profitability.</w:t>
            </w:r>
          </w:p>
          <w:p>
            <w:pPr>
              <w:pStyle w:val="Normal"/>
              <w:widowControl/>
              <w:spacing w:lineRule="auto" w:line="268" w:before="40" w:after="4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kern w:val="0"/>
                <w:sz w:val="20"/>
                <w:szCs w:val="20"/>
                <w:lang w:val="en-US" w:bidi="ar-SA"/>
              </w:rPr>
            </w:r>
          </w:p>
        </w:tc>
      </w:tr>
      <w:tr>
        <w:trPr/>
        <w:tc>
          <w:tcPr>
            <w:tcW w:w="1166" w:type="dxa"/>
            <w:tcBorders>
              <w:top w:val="single" w:sz="4" w:space="0" w:color="FFFFFF"/>
              <w:bottom w:val="single" w:sz="4" w:space="0" w:color="FFFFFF"/>
            </w:tcBorders>
            <w:shd w:color="auto" w:fill="002951" w:val="clear"/>
          </w:tcPr>
          <w:p>
            <w:pPr>
              <w:pStyle w:val="Normal"/>
              <w:widowControl/>
              <w:spacing w:lineRule="auto" w:line="268" w:before="40" w:after="40"/>
              <w:jc w:val="left"/>
              <w:rPr>
                <w:rFonts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kern w:val="0"/>
                <w:sz w:val="20"/>
                <w:szCs w:val="20"/>
                <w:lang w:val="en-US" w:bidi="ar-SA"/>
              </w:rPr>
              <w:t>Risk</w:t>
            </w:r>
          </w:p>
        </w:tc>
        <w:tc>
          <w:tcPr>
            <w:tcW w:w="8193" w:type="dxa"/>
            <w:tcBorders/>
          </w:tcPr>
          <w:p>
            <w:pPr>
              <w:pStyle w:val="Normal"/>
              <w:widowControl/>
              <w:spacing w:lineRule="auto" w:line="268" w:before="40" w:after="40"/>
              <w:jc w:val="left"/>
              <w:rPr>
                <w:rFonts w:cs="Arial"/>
                <w:b/>
                <w:b/>
                <w:sz w:val="20"/>
                <w:szCs w:val="20"/>
                <w:u w:val="single"/>
              </w:rPr>
            </w:pPr>
            <w:r>
              <w:rPr>
                <w:rFonts w:cs="Arial"/>
                <w:b/>
                <w:kern w:val="0"/>
                <w:sz w:val="20"/>
                <w:szCs w:val="20"/>
                <w:u w:val="single"/>
                <w:lang w:val="en-US" w:bidi="ar-SA"/>
              </w:rPr>
              <w:t>Country Risk</w:t>
            </w:r>
          </w:p>
          <w:p>
            <w:pPr>
              <w:pStyle w:val="Normal"/>
              <w:widowControl/>
              <w:spacing w:lineRule="auto" w:line="268" w:before="40" w:after="4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kern w:val="0"/>
                <w:sz w:val="20"/>
                <w:szCs w:val="20"/>
                <w:lang w:val="en-US" w:bidi="ar-SA"/>
              </w:rPr>
              <w:t>Could impact the operations of the company in a country, which could impact margins and /or growth.</w:t>
            </w:r>
          </w:p>
          <w:p>
            <w:pPr>
              <w:pStyle w:val="Normal"/>
              <w:widowControl/>
              <w:spacing w:lineRule="auto" w:line="268" w:before="40" w:after="40"/>
              <w:jc w:val="left"/>
              <w:rPr>
                <w:rFonts w:cs="Arial"/>
                <w:b/>
                <w:b/>
                <w:sz w:val="20"/>
                <w:szCs w:val="20"/>
                <w:u w:val="single"/>
              </w:rPr>
            </w:pPr>
            <w:r>
              <w:rPr>
                <w:rFonts w:cs="Arial"/>
                <w:b/>
                <w:kern w:val="0"/>
                <w:sz w:val="20"/>
                <w:szCs w:val="20"/>
                <w:u w:val="single"/>
                <w:lang w:val="en-US" w:bidi="ar-SA"/>
              </w:rPr>
              <w:t>Mitigant(s)</w:t>
            </w:r>
          </w:p>
          <w:p>
            <w:pPr>
              <w:pStyle w:val="Normal"/>
              <w:widowControl/>
              <w:spacing w:lineRule="auto" w:line="268" w:before="40" w:after="4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kern w:val="0"/>
                <w:sz w:val="20"/>
                <w:szCs w:val="20"/>
                <w:lang w:val="en-US" w:bidi="ar-SA"/>
              </w:rPr>
              <w:t>Company invests in “low” risk countries, which reduces the risk, making the investment comfortable.</w:t>
            </w:r>
          </w:p>
          <w:p>
            <w:pPr>
              <w:pStyle w:val="Normal"/>
              <w:widowControl/>
              <w:spacing w:lineRule="auto" w:line="268" w:before="40" w:after="4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kern w:val="0"/>
                <w:sz w:val="20"/>
                <w:szCs w:val="20"/>
                <w:lang w:val="en-US" w:bidi="ar-SA"/>
              </w:rPr>
            </w:r>
          </w:p>
        </w:tc>
      </w:tr>
      <w:tr>
        <w:trPr/>
        <w:tc>
          <w:tcPr>
            <w:tcW w:w="1166" w:type="dxa"/>
            <w:tcBorders>
              <w:top w:val="single" w:sz="4" w:space="0" w:color="FFFFFF"/>
            </w:tcBorders>
            <w:shd w:color="auto" w:fill="002951" w:val="clear"/>
          </w:tcPr>
          <w:p>
            <w:pPr>
              <w:pStyle w:val="Normal"/>
              <w:widowControl/>
              <w:spacing w:lineRule="auto" w:line="268" w:before="40" w:after="40"/>
              <w:jc w:val="left"/>
              <w:rPr>
                <w:rFonts w:cs="Arial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kern w:val="0"/>
                <w:sz w:val="20"/>
                <w:szCs w:val="20"/>
                <w:lang w:val="en-US" w:bidi="ar-SA"/>
              </w:rPr>
              <w:t>Risk</w:t>
            </w:r>
          </w:p>
        </w:tc>
        <w:tc>
          <w:tcPr>
            <w:tcW w:w="8193" w:type="dxa"/>
            <w:tcBorders/>
          </w:tcPr>
          <w:p>
            <w:pPr>
              <w:pStyle w:val="Normal"/>
              <w:widowControl/>
              <w:spacing w:lineRule="auto" w:line="268" w:before="40" w:after="40"/>
              <w:jc w:val="left"/>
              <w:rPr>
                <w:rFonts w:cs="Arial"/>
                <w:b/>
                <w:b/>
                <w:sz w:val="20"/>
                <w:szCs w:val="20"/>
                <w:u w:val="single"/>
              </w:rPr>
            </w:pPr>
            <w:r>
              <w:rPr>
                <w:rFonts w:cs="Arial"/>
                <w:b/>
                <w:kern w:val="0"/>
                <w:sz w:val="20"/>
                <w:szCs w:val="20"/>
                <w:u w:val="single"/>
                <w:lang w:val="en-US" w:bidi="ar-SA"/>
              </w:rPr>
              <w:t>Sector Risk</w:t>
            </w:r>
          </w:p>
          <w:p>
            <w:pPr>
              <w:pStyle w:val="Normal"/>
              <w:widowControl/>
              <w:spacing w:lineRule="auto" w:line="268" w:before="40" w:after="4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kern w:val="0"/>
                <w:sz w:val="20"/>
                <w:szCs w:val="20"/>
                <w:lang w:val="en-US" w:bidi="ar-SA"/>
              </w:rPr>
              <w:t xml:space="preserve">Could significantly impact the business, if there are any changes in the QSR market environment. </w:t>
            </w:r>
          </w:p>
          <w:p>
            <w:pPr>
              <w:pStyle w:val="Normal"/>
              <w:widowControl/>
              <w:spacing w:lineRule="auto" w:line="268" w:before="40" w:after="40"/>
              <w:jc w:val="left"/>
              <w:rPr>
                <w:rFonts w:cs="Arial"/>
                <w:b/>
                <w:b/>
                <w:sz w:val="20"/>
                <w:szCs w:val="20"/>
                <w:u w:val="single"/>
              </w:rPr>
            </w:pPr>
            <w:r>
              <w:rPr>
                <w:rFonts w:cs="Arial"/>
                <w:b/>
                <w:kern w:val="0"/>
                <w:sz w:val="20"/>
                <w:szCs w:val="20"/>
                <w:u w:val="single"/>
                <w:lang w:val="en-US" w:bidi="ar-SA"/>
              </w:rPr>
              <w:t>Mitigant(s)</w:t>
            </w:r>
          </w:p>
          <w:p>
            <w:pPr>
              <w:pStyle w:val="Normal"/>
              <w:widowControl/>
              <w:spacing w:lineRule="auto" w:line="268" w:before="40" w:after="4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kern w:val="0"/>
                <w:sz w:val="20"/>
                <w:szCs w:val="20"/>
                <w:lang w:val="en-US" w:bidi="ar-SA"/>
              </w:rPr>
              <w:t xml:space="preserve">According to the due diligence report, sector is growing in favor for rocketfuel’s market segment with good growth (5-6%). </w:t>
            </w:r>
          </w:p>
          <w:p>
            <w:pPr>
              <w:pStyle w:val="Normal"/>
              <w:widowControl/>
              <w:spacing w:lineRule="auto" w:line="268" w:before="40" w:after="40"/>
              <w:jc w:val="left"/>
              <w:rPr>
                <w:rFonts w:cs="Arial"/>
                <w:b/>
                <w:b/>
                <w:sz w:val="20"/>
                <w:szCs w:val="20"/>
                <w:u w:val="single"/>
              </w:rPr>
            </w:pPr>
            <w:r>
              <w:rPr>
                <w:rFonts w:cs="Arial"/>
                <w:b/>
                <w:kern w:val="0"/>
                <w:sz w:val="20"/>
                <w:szCs w:val="20"/>
                <w:u w:val="single"/>
                <w:lang w:val="en-US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12700" distL="0" distR="0" simplePos="0" locked="0" layoutInCell="0" allowOverlap="1" relativeHeight="2" wp14:anchorId="17D04B27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9a4b434fa903734341e9e9bd" descr="{&quot;HashCode&quot;:-204710794,&quot;Height&quot;:792.0,&quot;Width&quot;:612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7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rFonts w:ascii="Calibri" w:hAnsi="Calibri" w:cs="Calibri"/>
                              <w:sz w:val="20"/>
                            </w:rPr>
                          </w:pPr>
                          <w:r>
                            <w:rPr>
                              <w:rFonts w:cs="Calibri" w:ascii="Calibri" w:hAnsi="Calibri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9a4b434fa903734341e9e9bd" path="m0,0l-2147483645,0l-2147483645,-2147483646l0,-2147483646xe" stroked="f" o:allowincell="f" style="position:absolute;margin-left:0pt;margin-top:755.45pt;width:611.95pt;height:21.45pt;mso-wrap-style:square;v-text-anchor:bottom;mso-position-horizontal-relative:page;mso-position-vertical-relative:page" wp14:anchorId="17D04B27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rFonts w:ascii="Calibri" w:hAnsi="Calibri" w:cs="Calibri"/>
                        <w:sz w:val="20"/>
                      </w:rPr>
                    </w:pPr>
                    <w:r>
                      <w:rPr>
                        <w:rFonts w:cs="Calibri" w:ascii="Calibri" w:hAnsi="Calibri"/>
                        <w:sz w:val="20"/>
                      </w:rPr>
                      <w:t>RESTRICTED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12700" distL="0" distR="0" simplePos="0" locked="0" layoutInCell="0" allowOverlap="1" relativeHeight="2" wp14:anchorId="17D04B27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3" name="MSIPCM9a4b434fa903734341e9e9bd" descr="{&quot;HashCode&quot;:-204710794,&quot;Height&quot;:792.0,&quot;Width&quot;:612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7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rFonts w:ascii="Calibri" w:hAnsi="Calibri" w:cs="Calibri"/>
                              <w:sz w:val="20"/>
                            </w:rPr>
                          </w:pPr>
                          <w:r>
                            <w:rPr>
                              <w:rFonts w:cs="Calibri" w:ascii="Calibri" w:hAnsi="Calibri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9a4b434fa903734341e9e9bd" path="m0,0l-2147483645,0l-2147483645,-2147483646l0,-2147483646xe" stroked="f" o:allowincell="f" style="position:absolute;margin-left:0pt;margin-top:755.45pt;width:611.95pt;height:21.45pt;mso-wrap-style:square;v-text-anchor:bottom;mso-position-horizontal-relative:page;mso-position-vertical-relative:page" wp14:anchorId="17D04B27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rFonts w:ascii="Calibri" w:hAnsi="Calibri" w:cs="Calibri"/>
                        <w:sz w:val="20"/>
                      </w:rPr>
                    </w:pPr>
                    <w:r>
                      <w:rPr>
                        <w:rFonts w:cs="Calibri" w:ascii="Calibri" w:hAnsi="Calibri"/>
                        <w:sz w:val="20"/>
                      </w:rPr>
                      <w:t>RESTRICTED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62c7"/>
    <w:pPr>
      <w:widowControl/>
      <w:bidi w:val="0"/>
      <w:spacing w:lineRule="auto" w:line="240" w:before="0" w:after="0"/>
      <w:jc w:val="left"/>
    </w:pPr>
    <w:rPr>
      <w:rFonts w:ascii="Arial" w:hAnsi="Arial" w:eastAsia="MS Mincho" w:cs="Times New Roman"/>
      <w:color w:val="000000"/>
      <w:kern w:val="0"/>
      <w:sz w:val="24"/>
      <w:szCs w:val="24"/>
      <w:lang w:eastAsia="ja-JP"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ParagraphChar" w:customStyle="1">
    <w:name w:val="List Paragraph Char"/>
    <w:link w:val="ListParagraph"/>
    <w:uiPriority w:val="34"/>
    <w:qFormat/>
    <w:locked/>
    <w:rsid w:val="00ae62c7"/>
    <w:rPr>
      <w:rFonts w:ascii="Times New Roman" w:hAnsi="Times New Roman" w:eastAsia="Batang" w:cs="Times New Roman"/>
      <w:sz w:val="20"/>
      <w:szCs w:val="20"/>
      <w:lang w:val="en-GB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ae62c7"/>
    <w:rPr>
      <w:rFonts w:ascii="Calibri" w:hAnsi="Calibri" w:eastAsia="Calibri" w:cs="Times New Roma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e62c7"/>
    <w:rPr>
      <w:rFonts w:ascii="Arial" w:hAnsi="Arial" w:eastAsia="MS Mincho" w:cs="Times New Roman"/>
      <w:color w:val="000000"/>
      <w:sz w:val="24"/>
      <w:szCs w:val="24"/>
      <w:lang w:eastAsia="ja-JP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e62c7"/>
    <w:rPr>
      <w:rFonts w:ascii="Arial" w:hAnsi="Arial" w:eastAsia="MS Mincho" w:cs="Times New Roman"/>
      <w:color w:val="000000"/>
      <w:sz w:val="24"/>
      <w:szCs w:val="24"/>
      <w:lang w:eastAsia="ja-JP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ListParagraphChar"/>
    <w:uiPriority w:val="34"/>
    <w:qFormat/>
    <w:rsid w:val="00ae62c7"/>
    <w:pPr>
      <w:spacing w:before="0" w:after="0"/>
      <w:ind w:left="720" w:hanging="0"/>
      <w:contextualSpacing/>
    </w:pPr>
    <w:rPr>
      <w:rFonts w:ascii="Times New Roman" w:hAnsi="Times New Roman" w:eastAsia="Batang"/>
      <w:color w:val="auto"/>
      <w:sz w:val="20"/>
      <w:szCs w:val="20"/>
      <w:lang w:val="en-GB" w:eastAsia="en-US"/>
    </w:rPr>
  </w:style>
  <w:style w:type="paragraph" w:styleId="NoSpacing">
    <w:name w:val="No Spacing"/>
    <w:link w:val="NoSpacingChar"/>
    <w:uiPriority w:val="1"/>
    <w:qFormat/>
    <w:rsid w:val="00ae62c7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e62c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e62c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e62c7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LibreOffice/7.3.7.2$Linux_X86_64 LibreOffice_project/30$Build-2</Application>
  <AppVersion>15.0000</AppVersion>
  <Pages>1</Pages>
  <Words>165</Words>
  <Characters>948</Characters>
  <CharactersWithSpaces>1092</CharactersWithSpaces>
  <Paragraphs>25</Paragraphs>
  <Company>HSBC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2021-05-18T15:07:00Z</dcterms:created>
  <dc:creator>David C Filipczak</dc:creator>
  <dc:description/>
  <dc:language>en-IN</dc:language>
  <cp:lastModifiedBy/>
  <dcterms:modified xsi:type="dcterms:W3CDTF">2024-02-17T23:34:48Z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RESTRICTED</vt:lpwstr>
  </property>
  <property fmtid="{D5CDD505-2E9C-101B-9397-08002B2CF9AE}" pid="3" name="MSIP_Label_f851b4f6-a95e-46a7-8457-84c26f440032_ActionId">
    <vt:lpwstr>82eb5f6f-b3e8-46a4-a61c-d8f816500ad8</vt:lpwstr>
  </property>
  <property fmtid="{D5CDD505-2E9C-101B-9397-08002B2CF9AE}" pid="4" name="MSIP_Label_f851b4f6-a95e-46a7-8457-84c26f440032_ContentBits">
    <vt:lpwstr>2</vt:lpwstr>
  </property>
  <property fmtid="{D5CDD505-2E9C-101B-9397-08002B2CF9AE}" pid="5" name="MSIP_Label_f851b4f6-a95e-46a7-8457-84c26f440032_Enabled">
    <vt:lpwstr>true</vt:lpwstr>
  </property>
  <property fmtid="{D5CDD505-2E9C-101B-9397-08002B2CF9AE}" pid="6" name="MSIP_Label_f851b4f6-a95e-46a7-8457-84c26f440032_Method">
    <vt:lpwstr>Privileged</vt:lpwstr>
  </property>
  <property fmtid="{D5CDD505-2E9C-101B-9397-08002B2CF9AE}" pid="7" name="MSIP_Label_f851b4f6-a95e-46a7-8457-84c26f440032_Name">
    <vt:lpwstr>CLARESTRI</vt:lpwstr>
  </property>
  <property fmtid="{D5CDD505-2E9C-101B-9397-08002B2CF9AE}" pid="8" name="MSIP_Label_f851b4f6-a95e-46a7-8457-84c26f440032_SetDate">
    <vt:lpwstr>2021-05-18T15:14:22Z</vt:lpwstr>
  </property>
  <property fmtid="{D5CDD505-2E9C-101B-9397-08002B2CF9AE}" pid="9" name="MSIP_Label_f851b4f6-a95e-46a7-8457-84c26f440032_SiteId">
    <vt:lpwstr>e0fd434d-ba64-497b-90d2-859c472e1a92</vt:lpwstr>
  </property>
</Properties>
</file>