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rFonts w:ascii="Verdana" w:cs="Verdana" w:eastAsia="Verdana" w:hAnsi="Verdana"/>
          <w:color w:val="2a2a2a"/>
          <w:sz w:val="20"/>
          <w:szCs w:val="20"/>
          <w:rtl w:val="0"/>
        </w:rPr>
        <w:t xml:space="preserve">In the Forefront TMG Management console tree, click </w:t>
      </w:r>
      <w:r w:rsidDel="00000000" w:rsidR="00000000" w:rsidRPr="00000000">
        <w:rPr>
          <w:rFonts w:ascii="Verdana" w:cs="Verdana" w:eastAsia="Verdana" w:hAnsi="Verdana"/>
          <w:b w:val="1"/>
          <w:color w:val="2a2a2a"/>
          <w:sz w:val="20"/>
          <w:szCs w:val="20"/>
          <w:rtl w:val="0"/>
        </w:rPr>
        <w:t xml:space="preserve">Firewall Policy</w:t>
      </w:r>
      <w:r w:rsidDel="00000000" w:rsidR="00000000" w:rsidRPr="00000000">
        <w:rPr>
          <w:rFonts w:ascii="Verdana" w:cs="Verdana" w:eastAsia="Verdana" w:hAnsi="Verdana"/>
          <w:color w:val="2a2a2a"/>
          <w:sz w:val="20"/>
          <w:szCs w:val="20"/>
          <w:rtl w:val="0"/>
        </w:rPr>
        <w:t xml:space="preserve">.</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rFonts w:ascii="Verdana" w:cs="Verdana" w:eastAsia="Verdana" w:hAnsi="Verdana"/>
          <w:color w:val="2a2a2a"/>
          <w:sz w:val="20"/>
          <w:szCs w:val="20"/>
          <w:rtl w:val="0"/>
        </w:rPr>
        <w:t xml:space="preserve">On the </w:t>
      </w:r>
      <w:r w:rsidDel="00000000" w:rsidR="00000000" w:rsidRPr="00000000">
        <w:rPr>
          <w:rFonts w:ascii="Verdana" w:cs="Verdana" w:eastAsia="Verdana" w:hAnsi="Verdana"/>
          <w:b w:val="1"/>
          <w:color w:val="2a2a2a"/>
          <w:sz w:val="20"/>
          <w:szCs w:val="20"/>
          <w:rtl w:val="0"/>
        </w:rPr>
        <w:t xml:space="preserve">Tasks</w:t>
      </w:r>
      <w:r w:rsidDel="00000000" w:rsidR="00000000" w:rsidRPr="00000000">
        <w:rPr>
          <w:rFonts w:ascii="Verdana" w:cs="Verdana" w:eastAsia="Verdana" w:hAnsi="Verdana"/>
          <w:color w:val="2a2a2a"/>
          <w:sz w:val="20"/>
          <w:szCs w:val="20"/>
          <w:rtl w:val="0"/>
        </w:rPr>
        <w:t xml:space="preserve"> tab, click </w:t>
      </w:r>
      <w:r w:rsidDel="00000000" w:rsidR="00000000" w:rsidRPr="00000000">
        <w:rPr>
          <w:rFonts w:ascii="Verdana" w:cs="Verdana" w:eastAsia="Verdana" w:hAnsi="Verdana"/>
          <w:b w:val="1"/>
          <w:color w:val="2a2a2a"/>
          <w:sz w:val="20"/>
          <w:szCs w:val="20"/>
          <w:rtl w:val="0"/>
        </w:rPr>
        <w:t xml:space="preserve">Enable Intrusion Detection</w:t>
      </w:r>
      <w:r w:rsidDel="00000000" w:rsidR="00000000" w:rsidRPr="00000000">
        <w:rPr>
          <w:rFonts w:ascii="Verdana" w:cs="Verdana" w:eastAsia="Verdana" w:hAnsi="Verdana"/>
          <w:color w:val="2a2a2a"/>
          <w:sz w:val="20"/>
          <w:szCs w:val="20"/>
          <w:rtl w:val="0"/>
        </w:rPr>
        <w:t xml:space="preserve">.</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rFonts w:ascii="Verdana" w:cs="Verdana" w:eastAsia="Verdana" w:hAnsi="Verdana"/>
          <w:color w:val="2a2a2a"/>
          <w:sz w:val="20"/>
          <w:szCs w:val="20"/>
          <w:rtl w:val="0"/>
        </w:rPr>
        <w:t xml:space="preserve">On the </w:t>
      </w:r>
      <w:r w:rsidDel="00000000" w:rsidR="00000000" w:rsidRPr="00000000">
        <w:rPr>
          <w:rFonts w:ascii="Verdana" w:cs="Verdana" w:eastAsia="Verdana" w:hAnsi="Verdana"/>
          <w:b w:val="1"/>
          <w:color w:val="2a2a2a"/>
          <w:sz w:val="20"/>
          <w:szCs w:val="20"/>
          <w:rtl w:val="0"/>
        </w:rPr>
        <w:t xml:space="preserve">Common Attacks</w:t>
      </w:r>
      <w:r w:rsidDel="00000000" w:rsidR="00000000" w:rsidRPr="00000000">
        <w:rPr>
          <w:rFonts w:ascii="Verdana" w:cs="Verdana" w:eastAsia="Verdana" w:hAnsi="Verdana"/>
          <w:color w:val="2a2a2a"/>
          <w:sz w:val="20"/>
          <w:szCs w:val="20"/>
          <w:rtl w:val="0"/>
        </w:rPr>
        <w:t xml:space="preserve"> tab, select </w:t>
      </w:r>
      <w:r w:rsidDel="00000000" w:rsidR="00000000" w:rsidRPr="00000000">
        <w:rPr>
          <w:rFonts w:ascii="Verdana" w:cs="Verdana" w:eastAsia="Verdana" w:hAnsi="Verdana"/>
          <w:b w:val="1"/>
          <w:color w:val="2a2a2a"/>
          <w:sz w:val="20"/>
          <w:szCs w:val="20"/>
          <w:rtl w:val="0"/>
        </w:rPr>
        <w:t xml:space="preserve">Enable intrusion detection</w:t>
      </w:r>
      <w:r w:rsidDel="00000000" w:rsidR="00000000" w:rsidRPr="00000000">
        <w:rPr>
          <w:rFonts w:ascii="Verdana" w:cs="Verdana" w:eastAsia="Verdana" w:hAnsi="Verdana"/>
          <w:color w:val="2a2a2a"/>
          <w:sz w:val="20"/>
          <w:szCs w:val="20"/>
          <w:rtl w:val="0"/>
        </w:rPr>
        <w:t xml:space="preserve">.</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rFonts w:ascii="Verdana" w:cs="Verdana" w:eastAsia="Verdana" w:hAnsi="Verdana"/>
          <w:color w:val="2a2a2a"/>
          <w:sz w:val="20"/>
          <w:szCs w:val="20"/>
          <w:rtl w:val="0"/>
        </w:rPr>
        <w:t xml:space="preserve">Select one or more of the following:</w:t>
      </w:r>
    </w:p>
    <w:p w:rsidR="00000000" w:rsidDel="00000000" w:rsidP="00000000" w:rsidRDefault="00000000" w:rsidRPr="00000000">
      <w:pPr>
        <w:numPr>
          <w:ilvl w:val="1"/>
          <w:numId w:val="1"/>
        </w:numPr>
        <w:ind w:left="1440" w:hanging="360"/>
        <w:contextualSpacing w:val="1"/>
        <w:rPr/>
      </w:pPr>
      <w:r w:rsidDel="00000000" w:rsidR="00000000" w:rsidRPr="00000000">
        <w:rPr>
          <w:rFonts w:ascii="Verdana" w:cs="Verdana" w:eastAsia="Verdana" w:hAnsi="Verdana"/>
          <w:b w:val="1"/>
          <w:sz w:val="20"/>
          <w:szCs w:val="20"/>
          <w:rtl w:val="0"/>
        </w:rPr>
        <w:t xml:space="preserve">Windows out-of-band (WinNuke)</w:t>
      </w:r>
      <w:r w:rsidDel="00000000" w:rsidR="00000000" w:rsidRPr="00000000">
        <w:rPr>
          <w:rFonts w:ascii="Verdana" w:cs="Verdana" w:eastAsia="Verdana" w:hAnsi="Verdana"/>
          <w:sz w:val="20"/>
          <w:szCs w:val="20"/>
          <w:rtl w:val="0"/>
        </w:rPr>
        <w:t xml:space="preserve">. Select this option when Forefront TMG will generate an event if an out-of-band denial of service attack is attempted against a computer protected by Forefront TMG. </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Verdana" w:cs="Verdana" w:eastAsia="Verdana" w:hAnsi="Verdana"/>
          <w:b w:val="1"/>
          <w:sz w:val="20"/>
          <w:szCs w:val="20"/>
          <w:rtl w:val="0"/>
        </w:rPr>
        <w:t xml:space="preserve">Land</w:t>
      </w:r>
      <w:r w:rsidDel="00000000" w:rsidR="00000000" w:rsidRPr="00000000">
        <w:rPr>
          <w:rFonts w:ascii="Verdana" w:cs="Verdana" w:eastAsia="Verdana" w:hAnsi="Verdana"/>
          <w:sz w:val="20"/>
          <w:szCs w:val="20"/>
          <w:rtl w:val="0"/>
        </w:rPr>
        <w:t xml:space="preserve">. Select this option when Forefront TMG will generate an event if a TCP SYN packet is sent with a spoofed source IP address and port number that matches that of the destination IP address and port number.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Verdana" w:cs="Verdana" w:eastAsia="Verdana" w:hAnsi="Verdana"/>
          <w:b w:val="1"/>
          <w:sz w:val="20"/>
          <w:szCs w:val="20"/>
          <w:rtl w:val="0"/>
        </w:rPr>
        <w:t xml:space="preserve">Ping of death</w:t>
      </w:r>
      <w:r w:rsidDel="00000000" w:rsidR="00000000" w:rsidRPr="00000000">
        <w:rPr>
          <w:rFonts w:ascii="Verdana" w:cs="Verdana" w:eastAsia="Verdana" w:hAnsi="Verdana"/>
          <w:sz w:val="20"/>
          <w:szCs w:val="20"/>
          <w:rtl w:val="0"/>
        </w:rPr>
        <w:t xml:space="preserve">. Select this option when Forefront TMG will generate an event if an IP fragment is received with more data than the maximum IP packet size.</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Verdana" w:cs="Verdana" w:eastAsia="Verdana" w:hAnsi="Verdana"/>
          <w:b w:val="1"/>
          <w:sz w:val="20"/>
          <w:szCs w:val="20"/>
          <w:rtl w:val="0"/>
        </w:rPr>
        <w:t xml:space="preserve">IP half scan</w:t>
      </w:r>
      <w:r w:rsidDel="00000000" w:rsidR="00000000" w:rsidRPr="00000000">
        <w:rPr>
          <w:rFonts w:ascii="Verdana" w:cs="Verdana" w:eastAsia="Verdana" w:hAnsi="Verdana"/>
          <w:sz w:val="20"/>
          <w:szCs w:val="20"/>
          <w:rtl w:val="0"/>
        </w:rPr>
        <w:t xml:space="preserve">. Select this option when Forefront TMG will generate an event if repeated attempts to connect to a destination computer are made and no corresponding ACK packets are communicated.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Verdana" w:cs="Verdana" w:eastAsia="Verdana" w:hAnsi="Verdana"/>
          <w:b w:val="1"/>
          <w:sz w:val="20"/>
          <w:szCs w:val="20"/>
          <w:rtl w:val="0"/>
        </w:rPr>
        <w:t xml:space="preserve">UDP bomb</w:t>
      </w:r>
      <w:r w:rsidDel="00000000" w:rsidR="00000000" w:rsidRPr="00000000">
        <w:rPr>
          <w:rFonts w:ascii="Verdana" w:cs="Verdana" w:eastAsia="Verdana" w:hAnsi="Verdana"/>
          <w:sz w:val="20"/>
          <w:szCs w:val="20"/>
          <w:rtl w:val="0"/>
        </w:rPr>
        <w:t xml:space="preserve">. Select this option when Forefront TMG will generate an event if there is an attempt to send an illegal UDP packet. Although an event will be generated when the attack occurs, you must specifically enable and configure an alert to trigger an action.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Verdana" w:cs="Verdana" w:eastAsia="Verdana" w:hAnsi="Verdana"/>
          <w:b w:val="1"/>
          <w:sz w:val="20"/>
          <w:szCs w:val="20"/>
          <w:rtl w:val="0"/>
        </w:rPr>
        <w:t xml:space="preserve">Port scan</w:t>
      </w:r>
      <w:r w:rsidDel="00000000" w:rsidR="00000000" w:rsidRPr="00000000">
        <w:rPr>
          <w:rFonts w:ascii="Verdana" w:cs="Verdana" w:eastAsia="Verdana" w:hAnsi="Verdana"/>
          <w:sz w:val="20"/>
          <w:szCs w:val="20"/>
          <w:rtl w:val="0"/>
        </w:rPr>
        <w:t xml:space="preserve">. Select this option when Forefront TMG will generate an event if an attempt is made to count the services running on a computer by probing each port for a response.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rFonts w:ascii="Verdana" w:cs="Verdana" w:eastAsia="Verdana" w:hAnsi="Verdana"/>
          <w:color w:val="2a2a2a"/>
          <w:sz w:val="20"/>
          <w:szCs w:val="20"/>
          <w:rtl w:val="0"/>
        </w:rPr>
        <w:t xml:space="preserve">If you selected </w:t>
      </w:r>
      <w:r w:rsidDel="00000000" w:rsidR="00000000" w:rsidRPr="00000000">
        <w:rPr>
          <w:rFonts w:ascii="Verdana" w:cs="Verdana" w:eastAsia="Verdana" w:hAnsi="Verdana"/>
          <w:b w:val="1"/>
          <w:color w:val="2a2a2a"/>
          <w:sz w:val="20"/>
          <w:szCs w:val="20"/>
          <w:rtl w:val="0"/>
        </w:rPr>
        <w:t xml:space="preserve">Port scan</w:t>
      </w:r>
      <w:r w:rsidDel="00000000" w:rsidR="00000000" w:rsidRPr="00000000">
        <w:rPr>
          <w:rFonts w:ascii="Verdana" w:cs="Verdana" w:eastAsia="Verdana" w:hAnsi="Verdana"/>
          <w:color w:val="2a2a2a"/>
          <w:sz w:val="20"/>
          <w:szCs w:val="20"/>
          <w:rtl w:val="0"/>
        </w:rPr>
        <w:t xml:space="preserve">, also specify the following:</w:t>
      </w:r>
    </w:p>
    <w:p w:rsidR="00000000" w:rsidDel="00000000" w:rsidP="00000000" w:rsidRDefault="00000000" w:rsidRPr="00000000">
      <w:pPr>
        <w:numPr>
          <w:ilvl w:val="1"/>
          <w:numId w:val="1"/>
        </w:numPr>
        <w:ind w:left="1440" w:hanging="360"/>
        <w:contextualSpacing w:val="1"/>
        <w:rPr/>
      </w:pPr>
      <w:r w:rsidDel="00000000" w:rsidR="00000000" w:rsidRPr="00000000">
        <w:rPr>
          <w:rFonts w:ascii="Verdana" w:cs="Verdana" w:eastAsia="Verdana" w:hAnsi="Verdana"/>
          <w:b w:val="1"/>
          <w:sz w:val="20"/>
          <w:szCs w:val="20"/>
          <w:rtl w:val="0"/>
        </w:rPr>
        <w:t xml:space="preserve">Detect after attacks on well-known ports</w:t>
      </w:r>
      <w:r w:rsidDel="00000000" w:rsidR="00000000" w:rsidRPr="00000000">
        <w:rPr>
          <w:rFonts w:ascii="Verdana" w:cs="Verdana" w:eastAsia="Verdana" w:hAnsi="Verdana"/>
          <w:sz w:val="20"/>
          <w:szCs w:val="20"/>
          <w:rtl w:val="0"/>
        </w:rPr>
        <w:t xml:space="preserve">. Type the maximum number of well-known ports that can be scanned before generating an event when a port scan attack is detected. A well-known port is any port in the range from 1 through 2048.</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Verdana" w:cs="Verdana" w:eastAsia="Verdana" w:hAnsi="Verdana"/>
          <w:b w:val="1"/>
          <w:sz w:val="20"/>
          <w:szCs w:val="20"/>
          <w:rtl w:val="0"/>
        </w:rPr>
        <w:t xml:space="preserve">Detect after attacks on ports</w:t>
      </w:r>
      <w:r w:rsidDel="00000000" w:rsidR="00000000" w:rsidRPr="00000000">
        <w:rPr>
          <w:rFonts w:ascii="Verdana" w:cs="Verdana" w:eastAsia="Verdana" w:hAnsi="Verdana"/>
          <w:sz w:val="20"/>
          <w:szCs w:val="20"/>
          <w:rtl w:val="0"/>
        </w:rPr>
        <w:t xml:space="preserve">. Type the maximum number of ports that can be scanned before generating an event when a port scan attack is detected.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rFonts w:ascii="Verdana" w:cs="Verdana" w:eastAsia="Verdana" w:hAnsi="Verdana"/>
          <w:color w:val="2a2a2a"/>
          <w:sz w:val="20"/>
          <w:szCs w:val="20"/>
          <w:rtl w:val="0"/>
        </w:rPr>
        <w:t xml:space="preserve">If you want Forefront TMG to log all dropped packets, verify that </w:t>
      </w:r>
      <w:r w:rsidDel="00000000" w:rsidR="00000000" w:rsidRPr="00000000">
        <w:rPr>
          <w:rFonts w:ascii="Verdana" w:cs="Verdana" w:eastAsia="Verdana" w:hAnsi="Verdana"/>
          <w:b w:val="1"/>
          <w:color w:val="2a2a2a"/>
          <w:sz w:val="20"/>
          <w:szCs w:val="20"/>
          <w:rtl w:val="0"/>
        </w:rPr>
        <w:t xml:space="preserve">Log dropped packets</w:t>
      </w:r>
      <w:r w:rsidDel="00000000" w:rsidR="00000000" w:rsidRPr="00000000">
        <w:rPr>
          <w:rFonts w:ascii="Verdana" w:cs="Verdana" w:eastAsia="Verdana" w:hAnsi="Verdana"/>
          <w:color w:val="2a2a2a"/>
          <w:sz w:val="20"/>
          <w:szCs w:val="20"/>
          <w:rtl w:val="0"/>
        </w:rPr>
        <w:t xml:space="preserve"> is selected.</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rFonts w:ascii="Verdana" w:cs="Verdana" w:eastAsia="Verdana" w:hAnsi="Verdana"/>
          <w:color w:val="2a2a2a"/>
          <w:sz w:val="20"/>
          <w:szCs w:val="20"/>
          <w:rtl w:val="0"/>
        </w:rPr>
        <w:t xml:space="preserve">Click </w:t>
      </w:r>
      <w:r w:rsidDel="00000000" w:rsidR="00000000" w:rsidRPr="00000000">
        <w:rPr>
          <w:rFonts w:ascii="Verdana" w:cs="Verdana" w:eastAsia="Verdana" w:hAnsi="Verdana"/>
          <w:b w:val="1"/>
          <w:color w:val="2a2a2a"/>
          <w:sz w:val="20"/>
          <w:szCs w:val="20"/>
          <w:rtl w:val="0"/>
        </w:rPr>
        <w:t xml:space="preserve">OK</w:t>
      </w:r>
      <w:r w:rsidDel="00000000" w:rsidR="00000000" w:rsidRPr="00000000">
        <w:rPr>
          <w:rFonts w:ascii="Verdana" w:cs="Verdana" w:eastAsia="Verdana" w:hAnsi="Verdana"/>
          <w:color w:val="2a2a2a"/>
          <w:sz w:val="20"/>
          <w:szCs w:val="20"/>
          <w:rtl w:val="0"/>
        </w:rPr>
        <w:t xml:space="preserve">.</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rFonts w:ascii="Verdana" w:cs="Verdana" w:eastAsia="Verdana" w:hAnsi="Verdana"/>
          <w:color w:val="2a2a2a"/>
          <w:sz w:val="20"/>
          <w:szCs w:val="20"/>
          <w:rtl w:val="0"/>
        </w:rPr>
        <w:t xml:space="preserve">In the details pane, click the </w:t>
      </w:r>
      <w:r w:rsidDel="00000000" w:rsidR="00000000" w:rsidRPr="00000000">
        <w:rPr>
          <w:rFonts w:ascii="Verdana" w:cs="Verdana" w:eastAsia="Verdana" w:hAnsi="Verdana"/>
          <w:b w:val="1"/>
          <w:color w:val="2a2a2a"/>
          <w:sz w:val="20"/>
          <w:szCs w:val="20"/>
          <w:rtl w:val="0"/>
        </w:rPr>
        <w:t xml:space="preserve">Apply</w:t>
      </w:r>
      <w:r w:rsidDel="00000000" w:rsidR="00000000" w:rsidRPr="00000000">
        <w:rPr>
          <w:rFonts w:ascii="Verdana" w:cs="Verdana" w:eastAsia="Verdana" w:hAnsi="Verdana"/>
          <w:color w:val="2a2a2a"/>
          <w:sz w:val="20"/>
          <w:szCs w:val="20"/>
          <w:rtl w:val="0"/>
        </w:rPr>
        <w:t xml:space="preserve"> button to save and update the configuration, and then click </w:t>
      </w:r>
      <w:r w:rsidDel="00000000" w:rsidR="00000000" w:rsidRPr="00000000">
        <w:rPr>
          <w:rFonts w:ascii="Verdana" w:cs="Verdana" w:eastAsia="Verdana" w:hAnsi="Verdana"/>
          <w:b w:val="1"/>
          <w:color w:val="2a2a2a"/>
          <w:sz w:val="20"/>
          <w:szCs w:val="20"/>
          <w:rtl w:val="0"/>
        </w:rPr>
        <w:t xml:space="preserve">OK</w:t>
      </w:r>
      <w:r w:rsidDel="00000000" w:rsidR="00000000" w:rsidRPr="00000000">
        <w:rPr>
          <w:rFonts w:ascii="Verdana" w:cs="Verdana" w:eastAsia="Verdana" w:hAnsi="Verdana"/>
          <w:color w:val="2a2a2a"/>
          <w:sz w:val="20"/>
          <w:szCs w:val="20"/>
          <w:rtl w:val="0"/>
        </w:rPr>
        <w:t xml:space="preserve">.</w:t>
      </w:r>
    </w:p>
    <w:p w:rsidR="00000000" w:rsidDel="00000000" w:rsidP="00000000" w:rsidRDefault="00000000" w:rsidRPr="00000000">
      <w:pPr>
        <w:contextualSpacing w:val="0"/>
        <w:rPr/>
      </w:pPr>
      <w:r w:rsidDel="00000000" w:rsidR="00000000" w:rsidRPr="00000000">
        <w:rPr>
          <w:rtl w:val="0"/>
        </w:rPr>
        <w:t xml:space="preserve">Source: https://technet.microsoft.com/en-us/library/cc984458.aspx</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rFonts w:ascii="Verdana" w:cs="Verdana" w:eastAsia="Verdana" w:hAnsi="Verdana"/>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