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الإشتراك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في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النشرة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البريدية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كبير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إنشاء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حساب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العالم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الولايات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المتحدة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التقنية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التصميم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الحضارة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المال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والأعمال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السياسة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الرأي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العام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العلوم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الصحة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الموضة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السفر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التدوينة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أكمل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القراءة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العالم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نوفمبر</w:t>
      </w:r>
      <w:r w:rsidDel="00000000" w:rsidR="00000000" w:rsidRPr="00000000">
        <w:rPr>
          <w:rtl w:val="1"/>
        </w:rPr>
        <w:t xml:space="preserve"> 12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أكمل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القراءة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التصميم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نوفمبر</w:t>
      </w:r>
      <w:r w:rsidDel="00000000" w:rsidR="00000000" w:rsidRPr="00000000">
        <w:rPr>
          <w:rtl w:val="1"/>
        </w:rPr>
        <w:t xml:space="preserve"> 11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أكمل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القراءة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مصغرة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Firehose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تدوينة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يناير</w:t>
      </w:r>
      <w:r w:rsidDel="00000000" w:rsidR="00000000" w:rsidRPr="00000000">
        <w:rPr>
          <w:rtl w:val="1"/>
        </w:rPr>
        <w:t xml:space="preserve"> 2021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1"/>
        </w:rPr>
        <w:t xml:space="preserve">يشك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تؤر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ٍّ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2050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كبيرا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وضغطا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متصاعدا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اليابسة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العالمية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/>
      </w:pPr>
      <w:r w:rsidDel="00000000" w:rsidR="00000000" w:rsidRPr="00000000">
        <w:rPr>
          <w:rtl w:val="1"/>
        </w:rPr>
        <w:t xml:space="preserve">تشغل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اليابسة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وللمقارنة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وطائرات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وقطارات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البلاستيدات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الخضراء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فالنباتات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وأكسجين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الجلكوز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</w:t>
      </w:r>
      <w:r w:rsidDel="00000000" w:rsidR="00000000" w:rsidRPr="00000000">
        <w:rPr>
          <w:rtl w:val="1"/>
        </w:rPr>
        <w:t xml:space="preserve">ُّ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التنفس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ألهمت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الستينيات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المريخ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النكهة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المألوفة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Example code block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1"/>
        </w:rPr>
        <w:t xml:space="preserve">وخلافا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البكتريا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هيدروجينوتروف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Hydrogenotrophs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تلتقطه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ويتحو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بالكربون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وسولار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فودز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المستدامة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كربونية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الشبيهة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يتكو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البروتينات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الكربوهيدرات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الدهون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وتتكو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الأمينية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أمينيا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وتتكو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الكربون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الهيدروجين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الأكسجين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النيتروجين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النيتروجين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يشك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%78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الأحماض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الأمينية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كربونية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بالبروتين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تدوينة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23 </w:t>
      </w:r>
      <w:r w:rsidDel="00000000" w:rsidR="00000000" w:rsidRPr="00000000">
        <w:rPr>
          <w:rtl w:val="1"/>
        </w:rPr>
        <w:t xml:space="preserve">ديسمبر</w:t>
      </w:r>
      <w:r w:rsidDel="00000000" w:rsidR="00000000" w:rsidRPr="00000000">
        <w:rPr>
          <w:rtl w:val="1"/>
        </w:rPr>
        <w:t xml:space="preserve"> 2020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وتستزرعها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2019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زراعية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المتجد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للتخمير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بالفيتامينات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الهرمونات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والمضادات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الأعشاب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/>
      </w:pPr>
      <w:r w:rsidDel="00000000" w:rsidR="00000000" w:rsidRPr="00000000">
        <w:rPr>
          <w:rtl w:val="1"/>
        </w:rPr>
        <w:t xml:space="preserve">وتم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والمأكولات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كربونية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انبعاث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الميثان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 </w:t>
      </w:r>
      <w:r w:rsidDel="00000000" w:rsidR="00000000" w:rsidRPr="00000000">
        <w:rPr>
          <w:rtl w:val="1"/>
        </w:rPr>
        <w:t xml:space="preserve">ديسمبر</w:t>
      </w:r>
      <w:r w:rsidDel="00000000" w:rsidR="00000000" w:rsidRPr="00000000">
        <w:rPr>
          <w:rtl w:val="1"/>
        </w:rPr>
        <w:t xml:space="preserve"> 2020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الفنلندية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للبكتريا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والنيتروجين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أكفأ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سولين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Solein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الأوروبي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المقبل</w:t>
      </w:r>
      <w:r w:rsidDel="00000000" w:rsidR="00000000" w:rsidRPr="00000000">
        <w:rPr>
          <w:rtl w:val="1"/>
        </w:rPr>
        <w:t xml:space="preserve"> 2021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الانبعاثات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البروتينات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ممكنا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تتوسع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أكفأ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استدامة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لرو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2050</w:t>
      </w:r>
      <w:r w:rsidDel="00000000" w:rsidR="00000000" w:rsidRPr="00000000">
        <w:rPr>
          <w:rtl w:val="1"/>
        </w:rPr>
        <w:t xml:space="preserve">م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فتخي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الميكروبات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2050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مستحيلا</w:t>
      </w:r>
      <w:r w:rsidDel="00000000" w:rsidR="00000000" w:rsidRPr="00000000">
        <w:rPr>
          <w:rtl w:val="1"/>
        </w:rPr>
        <w:t xml:space="preserve">ً!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تدوينات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أقدم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حول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أقبلت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فأقبلت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وألوانها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فالنبات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والقمري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والغنم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يثغو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والبقر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أليفه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المشاركات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الاخيرة</w:t>
      </w:r>
    </w:p>
    <w:p w:rsidR="00000000" w:rsidDel="00000000" w:rsidP="00000000" w:rsidRDefault="00000000" w:rsidRPr="00000000" w14:paraId="00000052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مثال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على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عنوان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منشور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المدونة</w:t>
        </w:r>
      </w:hyperlink>
      <w:hyperlink w:anchor="gjdgxs">
        <w:r w:rsidDel="00000000" w:rsidR="00000000" w:rsidRPr="00000000">
          <w:rPr>
            <w:rtl w:val="0"/>
          </w:rPr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15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يناير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هذا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عنوان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آخر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للمدونة</w:t>
        </w:r>
      </w:hyperlink>
      <w:hyperlink w:anchor="gjdgxs">
        <w:r w:rsidDel="00000000" w:rsidR="00000000" w:rsidRPr="00000000">
          <w:rPr>
            <w:rtl w:val="0"/>
          </w:rPr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14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يناير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6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أطول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عنوان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منشور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للمدونة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: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يحتوي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هذا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الخط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على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عدة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أسطر</w:t>
        </w:r>
      </w:hyperlink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1"/>
          </w:rPr>
          <w:t xml:space="preserve">!</w:t>
        </w:r>
      </w:hyperlink>
      <w:hyperlink w:anchor="gjdgxs">
        <w:r w:rsidDel="00000000" w:rsidR="00000000" w:rsidRPr="00000000">
          <w:rPr>
            <w:rtl w:val="0"/>
          </w:rPr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13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يناير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الأرشيف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مارس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شباط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يناير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ديسمبر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نوفمبر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أكتوبر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سبتمبر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اغسطس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يوليو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يونيو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مايو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ابريل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@mdo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عد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إلى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الأعلى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twitter.com/m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