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شرائح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العرض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الصفحة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الرئيسية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حلقة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الوصل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600" w:hanging="360"/>
      </w:pP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مفعل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بحث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المثال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تشير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الدراسات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الإحصائية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الجمعية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الإقبال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</w:t>
      </w:r>
      <w:r w:rsidDel="00000000" w:rsidR="00000000" w:rsidRPr="00000000">
        <w:rPr>
          <w:rtl w:val="1"/>
        </w:rPr>
        <w:t xml:space="preserve"> %126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الأمريكية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عامي</w:t>
      </w:r>
      <w:r w:rsidDel="00000000" w:rsidR="00000000" w:rsidRPr="00000000">
        <w:rPr>
          <w:rtl w:val="1"/>
        </w:rPr>
        <w:t xml:space="preserve"> 2002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2009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سجل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اليوم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البريطاني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بريطانيا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تعزيز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اقتصادها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يتجاوز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ملياري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سنويا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26 </w:t>
      </w:r>
      <w:r w:rsidDel="00000000" w:rsidR="00000000" w:rsidRPr="00000000">
        <w:rPr>
          <w:rtl w:val="1"/>
        </w:rPr>
        <w:t xml:space="preserve">ألف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أعرف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أكثر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لقياس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الإحصاءات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بريطانيا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لأخرى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التنفيذي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للمجلس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الثقافي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البريطاني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بايرز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استثمار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تعليم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الإنجليزية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السياسي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أيضا</w:t>
      </w:r>
      <w:r w:rsidDel="00000000" w:rsidR="00000000" w:rsidRPr="00000000">
        <w:rPr>
          <w:rtl w:val="1"/>
        </w:rPr>
        <w:t xml:space="preserve">ً.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تصفح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المعرض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التالي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rPr/>
      </w:pPr>
      <w:r w:rsidDel="00000000" w:rsidR="00000000" w:rsidRPr="00000000">
        <w:rPr>
          <w:rtl w:val="1"/>
        </w:rPr>
        <w:t xml:space="preserve">عنوان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تذكر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ذكاء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ولكنه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يكتسب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عناصر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وظيفية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رئيسة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التحليل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التأليف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والاستدلال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عرض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التفاصيل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آخر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أردنا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الحاسوب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</w:t>
      </w:r>
      <w:r w:rsidDel="00000000" w:rsidR="00000000" w:rsidRPr="00000000">
        <w:rPr>
          <w:rtl w:val="1"/>
        </w:rPr>
        <w:t xml:space="preserve">ٍّ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تمتاز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بتماسك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منظوماتها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وتداخلها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الصرفية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النحوية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الدلالية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عرض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التفاصيل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ثالث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المعلومة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بفضل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بحوث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وتقنياته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استطعنا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الفيزيائي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المنطقي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الشعوب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لغاتها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إيجابية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عرض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التفاصيل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المميز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سيذهل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عقلك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الإنسان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ومتمي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جسمه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الواقع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أنظمة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تعقيدا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لدينا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فهو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يتضم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40 </w:t>
      </w:r>
      <w:r w:rsidDel="00000000" w:rsidR="00000000" w:rsidRPr="00000000">
        <w:rPr>
          <w:rtl w:val="1"/>
        </w:rPr>
        <w:t xml:space="preserve">عضلة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هيكليا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ووظيفيا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؛ </w:t>
      </w:r>
      <w:r w:rsidDel="00000000" w:rsidR="00000000" w:rsidRPr="00000000">
        <w:rPr>
          <w:rtl w:val="1"/>
        </w:rPr>
        <w:t xml:space="preserve">وتشك</w:t>
      </w:r>
      <w:r w:rsidDel="00000000" w:rsidR="00000000" w:rsidRPr="00000000">
        <w:rPr>
          <w:rtl w:val="1"/>
        </w:rPr>
        <w:t xml:space="preserve">ِّ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مؤشرات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العواطف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500x500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1"/>
        </w:rPr>
        <w:t xml:space="preserve">أوه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شاهد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بنفسك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عندما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نضحك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نبكي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فإننا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عواطفنا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للآخرين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بإلقاء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أذهاننا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قراءة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وجوهنا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التغييرات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مكو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العينين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والحاجبين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والجفنين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والأنف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والشفتين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500x500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25" w:before="225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1"/>
        </w:rPr>
        <w:t xml:space="preserve">وأخير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كش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ملك</w:t>
      </w:r>
      <w:r w:rsidDel="00000000" w:rsidR="00000000" w:rsidRPr="00000000">
        <w:rPr>
          <w:b w:val="1"/>
          <w:i w:val="0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أجسامنا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بالأعصاب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أنحاء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بالنخاع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والدماغ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ثنائي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الاتجاه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يتسب</w:t>
      </w:r>
      <w:r w:rsidDel="00000000" w:rsidR="00000000" w:rsidRPr="00000000">
        <w:rPr>
          <w:rtl w:val="1"/>
        </w:rPr>
        <w:t xml:space="preserve">َّ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إشارات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ويقوم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الدماغ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500x500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عد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إلى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الأعلى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2017–2024 Company, Inc. ·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سياسة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الخصوصية</w:t>
        </w:r>
      </w:hyperlink>
      <w:r w:rsidDel="00000000" w:rsidR="00000000" w:rsidRPr="00000000">
        <w:rPr>
          <w:rtl w:val="0"/>
        </w:rPr>
        <w:t xml:space="preserve"> · </w:t>
      </w:r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شروط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 </w:t>
        </w:r>
      </w:hyperlink>
      <w:hyperlink w:anchor="gjdgxs">
        <w:r w:rsidDel="00000000" w:rsidR="00000000" w:rsidRPr="00000000">
          <w:rPr>
            <w:color w:val="0000ee"/>
            <w:u w:val="single"/>
            <w:rtl w:val="1"/>
          </w:rPr>
          <w:t xml:space="preserve">الاستخدام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