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1ª etapa (recorte submetido à consulta dos militares)</w:t>
      </w:r>
    </w:p>
    <w:p>
      <w:pPr>
        <w:spacing w:after="0" w:before="0"/>
        <w:jc w:val="center"/>
      </w:pPr>
      <w:r>
        <w:rPr>
          <w:rFonts w:ascii="Times New Roman" w:cs="Times New Roman" w:eastAsia="Times New Roman" w:hAnsi="Times New Roman"/>
          <w:b w:val="false"/>
          <w:bCs w:val="false"/>
          <w:i/>
          <w:iCs/>
          <w:sz w:val="22"/>
          <w:szCs w:val="22"/>
        </w:rPr>
        <w:t xml:space="preserve">Versão em consulta no Portal de Legislação CBM · cenário: Lei nº 2.204/2009 (LOB vigente)</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Este documento reproduz a minuta tal como publicada no portal para os militares com acesso restrito ao Regulamento de Serviço, sem as correções e alterações posteriores da curadoria (que estão na versão atual e no Comparativo): 171 artigos, reunindo o serviço operacional (COB), a Central de Operações e o teledespacho, o serviço interno e de dia, as atribuições das funções (somente COB e CAT) e o serviço técnico de segurança contra incêndio e pânico (CAT). Ficam para o Regulamento Geral completo 231 artigos de 9 capítulos e 16 artigos das funções dos demais órgãos. A numeração é provisória. Textos finais fechados no portal estão aplicados e sinalizados; fechamentos sem texto mantêm o original.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PRELIMINARES</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w:t>
      </w:r>
    </w:p>
    <w:p>
      <w:pPr>
        <w:spacing w:after="60" w:line="360"/>
        <w:ind w:left="708" w:hanging="340"/>
        <w:jc w:val="both"/>
      </w:pPr>
      <w:r>
        <w:rPr>
          <w:rFonts w:ascii="Times New Roman" w:cs="Times New Roman" w:eastAsia="Times New Roman" w:hAnsi="Times New Roman"/>
          <w:sz w:val="24"/>
          <w:szCs w:val="24"/>
        </w:rPr>
        <w:t xml:space="preserve">II - executar serviços de proteção, busca e salvamento;</w:t>
      </w:r>
    </w:p>
    <w:p>
      <w:pPr>
        <w:spacing w:after="60" w:line="360"/>
        <w:ind w:left="708" w:hanging="340"/>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Proteção e Defesa Civil</w:t>
      </w:r>
    </w:p>
    <w:p>
      <w:pPr>
        <w:spacing w:after="60" w:line="360"/>
        <w:ind w:left="708" w:hanging="340"/>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60" w:line="360"/>
        <w:ind w:left="708" w:hanging="340"/>
        <w:jc w:val="both"/>
      </w:pPr>
      <w:r>
        <w:rPr>
          <w:rFonts w:ascii="Times New Roman" w:cs="Times New Roman" w:eastAsia="Times New Roman" w:hAnsi="Times New Roman"/>
          <w:sz w:val="24"/>
          <w:szCs w:val="24"/>
        </w:rPr>
        <w:t xml:space="preserve">V - realizar socorros de urgência e emergência;</w:t>
      </w:r>
    </w:p>
    <w:p>
      <w:pPr>
        <w:spacing w:after="60" w:line="360"/>
        <w:ind w:left="708" w:hanging="340"/>
        <w:jc w:val="both"/>
      </w:pPr>
      <w:r>
        <w:rPr>
          <w:rFonts w:ascii="Times New Roman" w:cs="Times New Roman" w:eastAsia="Times New Roman" w:hAnsi="Times New Roman"/>
          <w:sz w:val="24"/>
          <w:szCs w:val="24"/>
        </w:rPr>
        <w:t xml:space="preserve">VI - executar perícias de incêndios, relacionadas com sua competência;</w:t>
      </w:r>
    </w:p>
    <w:p>
      <w:pPr>
        <w:spacing w:after="60" w:line="360"/>
        <w:ind w:left="708" w:hanging="340"/>
        <w:jc w:val="both"/>
      </w:pPr>
      <w:r>
        <w:rPr>
          <w:rFonts w:ascii="Times New Roman" w:cs="Times New Roman" w:eastAsia="Times New Roman" w:hAnsi="Times New Roman"/>
          <w:sz w:val="24"/>
          <w:szCs w:val="24"/>
        </w:rPr>
        <w:t xml:space="preserve">VII - realizar pesquisas científicas em seu campo de ação;</w:t>
      </w:r>
    </w:p>
    <w:p>
      <w:pPr>
        <w:spacing w:after="60" w:line="360"/>
        <w:ind w:left="708" w:hanging="340"/>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60" w:line="360"/>
        <w:ind w:left="708" w:hanging="340"/>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60" w:line="360"/>
        <w:ind w:left="708" w:hanging="340"/>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60" w:line="360"/>
        <w:ind w:left="708" w:hanging="340"/>
        <w:jc w:val="both"/>
      </w:pPr>
      <w:r>
        <w:rPr>
          <w:rFonts w:ascii="Times New Roman" w:cs="Times New Roman" w:eastAsia="Times New Roman" w:hAnsi="Times New Roman"/>
          <w:sz w:val="24"/>
          <w:szCs w:val="24"/>
        </w:rPr>
        <w:t xml:space="preserve">XI - desempenhar outras atividades previstas em lei.</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ATRIBUIÇÕES DAS FUNÇÕES</w:t>
      </w:r>
    </w:p>
    <w:p>
      <w:pPr>
        <w:spacing w:after="80" w:before="160"/>
        <w:jc w:val="center"/>
      </w:pPr>
      <w:r>
        <w:rPr>
          <w:rFonts w:ascii="Times New Roman" w:cs="Times New Roman" w:eastAsia="Times New Roman" w:hAnsi="Times New Roman"/>
          <w:b/>
          <w:bCs/>
          <w:i/>
          <w:iCs/>
          <w:sz w:val="22"/>
          <w:szCs w:val="22"/>
        </w:rPr>
        <w:t xml:space="preserve">Cap. I — Das funções do Comando Operacional de Bombeiros</w:t>
      </w:r>
    </w:p>
    <w:p>
      <w:pPr>
        <w:spacing w:after="60" w:line="360"/>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60" w:line="360"/>
        <w:ind w:left="708" w:hanging="340"/>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60" w:line="360"/>
        <w:ind w:left="708" w:hanging="340"/>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60" w:line="360"/>
        <w:ind w:left="708" w:hanging="340"/>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60" w:line="360"/>
        <w:ind w:left="708" w:hanging="340"/>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60" w:line="360"/>
        <w:ind w:left="708" w:hanging="340"/>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Compete ao Chefe da Seção de Pessoal:</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Compete ao Chefe da Seção Administrativa:</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Compete ao Chefe da Seção de Informática:</w:t>
      </w:r>
    </w:p>
    <w:p>
      <w:pPr>
        <w:spacing w:after="60" w:line="360"/>
        <w:ind w:left="708" w:hanging="340"/>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60" w:line="360"/>
        <w:ind w:left="708" w:hanging="340"/>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60" w:line="360"/>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Compete ao Chefe da Seção de Correição:</w:t>
      </w:r>
    </w:p>
    <w:p>
      <w:pPr>
        <w:spacing w:after="60" w:line="360"/>
        <w:ind w:left="708" w:hanging="340"/>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60" w:line="360"/>
        <w:ind w:left="708" w:hanging="340"/>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60" w:line="360"/>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Compete ao Chefe da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60" w:line="360"/>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Compete ao Chefe da Agência Regional de Inteligência:</w:t>
      </w:r>
    </w:p>
    <w:p>
      <w:pPr>
        <w:spacing w:after="60" w:line="360"/>
        <w:ind w:left="708" w:hanging="340"/>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60" w:line="360"/>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60" w:line="360"/>
        <w:ind w:left="708" w:hanging="340"/>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60" w:line="360"/>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60" w:line="360"/>
        <w:ind w:left="708" w:hanging="340"/>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60" w:line="360"/>
        <w:ind w:left="708" w:hanging="340"/>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80" w:before="160"/>
        <w:jc w:val="center"/>
      </w:pPr>
      <w:r>
        <w:rPr>
          <w:rFonts w:ascii="Times New Roman" w:cs="Times New Roman" w:eastAsia="Times New Roman" w:hAnsi="Times New Roman"/>
          <w:b/>
          <w:bCs/>
          <w:i/>
          <w:iCs/>
          <w:sz w:val="22"/>
          <w:szCs w:val="22"/>
        </w:rPr>
        <w:t xml:space="preserve">Cap. II — Das funções da Coordenadoria de Atividades Técnicas</w:t>
      </w:r>
    </w:p>
    <w:p>
      <w:pPr>
        <w:spacing w:after="60" w:line="360"/>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SERVIÇO OPERACIONAL</w:t>
      </w:r>
    </w:p>
    <w:p>
      <w:pPr>
        <w:spacing w:after="80" w:before="160"/>
        <w:jc w:val="center"/>
      </w:pPr>
      <w:r>
        <w:rPr>
          <w:rFonts w:ascii="Times New Roman" w:cs="Times New Roman" w:eastAsia="Times New Roman" w:hAnsi="Times New Roman"/>
          <w:b/>
          <w:bCs/>
          <w:i/>
          <w:iCs/>
          <w:sz w:val="22"/>
          <w:szCs w:val="22"/>
        </w:rPr>
        <w:t xml:space="preserve">RISD, Caps. I–IV — Finalidade, Objetivos, Políticas e Funções Operacionais</w:t>
      </w:r>
    </w:p>
    <w:p>
      <w:pPr>
        <w:spacing w:after="120" w:line="360"/>
        <w:ind w:firstLine="708"/>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º 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60" w:line="360"/>
        <w:ind w:left="708" w:hanging="340"/>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60" w:line="360"/>
        <w:ind w:left="708" w:hanging="340"/>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60" w:line="360"/>
        <w:ind w:left="708" w:hanging="340"/>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60" w:line="360"/>
        <w:ind w:left="708" w:hanging="340"/>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60" w:line="360"/>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60" w:line="360"/>
        <w:ind w:left="708" w:hanging="340"/>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60" w:line="360"/>
        <w:ind w:left="708" w:hanging="340"/>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60" w:line="360"/>
        <w:ind w:left="708" w:hanging="340"/>
        <w:jc w:val="both"/>
      </w:pPr>
      <w:r>
        <w:rPr>
          <w:rFonts w:ascii="Times New Roman" w:cs="Times New Roman" w:eastAsia="Times New Roman" w:hAnsi="Times New Roman"/>
          <w:sz w:val="24"/>
          <w:szCs w:val="24"/>
        </w:rPr>
        <w:t xml:space="preserve">IV - reduzir o tempo nos atendimentos e melhorar a eficiência dos socorros;</w:t>
      </w:r>
    </w:p>
    <w:p>
      <w:pPr>
        <w:spacing w:after="60" w:line="360"/>
        <w:ind w:left="708" w:hanging="340"/>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60" w:line="360"/>
        <w:ind w:left="708" w:hanging="340"/>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60" w:line="360"/>
        <w:ind w:left="708" w:hanging="340"/>
        <w:jc w:val="both"/>
      </w:pPr>
      <w:r>
        <w:rPr>
          <w:rFonts w:ascii="Times New Roman" w:cs="Times New Roman" w:eastAsia="Times New Roman" w:hAnsi="Times New Roman"/>
          <w:sz w:val="24"/>
          <w:szCs w:val="24"/>
        </w:rPr>
        <w:t xml:space="preserve">VII - manter a reserva operacional em condições de pronto emprego; e</w:t>
      </w:r>
    </w:p>
    <w:p>
      <w:pPr>
        <w:spacing w:after="60" w:line="360"/>
        <w:ind w:left="708" w:hanging="340"/>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60" w:line="360"/>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º 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comandante de Área;</w:t>
      </w:r>
    </w:p>
    <w:p>
      <w:pPr>
        <w:spacing w:after="60" w:line="360"/>
        <w:ind w:left="708" w:hanging="340"/>
        <w:jc w:val="both"/>
      </w:pPr>
      <w:r>
        <w:rPr>
          <w:rFonts w:ascii="Times New Roman" w:cs="Times New Roman" w:eastAsia="Times New Roman" w:hAnsi="Times New Roman"/>
          <w:sz w:val="24"/>
          <w:szCs w:val="24"/>
        </w:rPr>
        <w:t xml:space="preserve">III - comandante de Socorro;</w:t>
      </w:r>
    </w:p>
    <w:p>
      <w:pPr>
        <w:spacing w:after="60" w:line="360"/>
        <w:ind w:left="708" w:hanging="340"/>
        <w:jc w:val="both"/>
      </w:pPr>
      <w:r>
        <w:rPr>
          <w:rFonts w:ascii="Times New Roman" w:cs="Times New Roman" w:eastAsia="Times New Roman" w:hAnsi="Times New Roman"/>
          <w:sz w:val="24"/>
          <w:szCs w:val="24"/>
        </w:rPr>
        <w:t xml:space="preserve">IV - oficial de dia;</w:t>
      </w:r>
    </w:p>
    <w:p>
      <w:pPr>
        <w:spacing w:after="60" w:line="360"/>
        <w:ind w:left="708" w:hanging="340"/>
        <w:jc w:val="both"/>
      </w:pPr>
      <w:r>
        <w:rPr>
          <w:rFonts w:ascii="Times New Roman" w:cs="Times New Roman" w:eastAsia="Times New Roman" w:hAnsi="Times New Roman"/>
          <w:sz w:val="24"/>
          <w:szCs w:val="24"/>
        </w:rPr>
        <w:t xml:space="preserve">V - adjunto ao Oficial de dia;</w:t>
      </w:r>
    </w:p>
    <w:p>
      <w:pPr>
        <w:spacing w:after="60" w:line="360"/>
        <w:ind w:left="708" w:hanging="340"/>
        <w:jc w:val="both"/>
      </w:pPr>
      <w:r>
        <w:rPr>
          <w:rFonts w:ascii="Times New Roman" w:cs="Times New Roman" w:eastAsia="Times New Roman" w:hAnsi="Times New Roman"/>
          <w:sz w:val="24"/>
          <w:szCs w:val="24"/>
        </w:rPr>
        <w:t xml:space="preserve">VI - comandante de Guarnição;</w:t>
      </w:r>
    </w:p>
    <w:p>
      <w:pPr>
        <w:spacing w:after="60" w:line="360"/>
        <w:ind w:left="708" w:hanging="340"/>
        <w:jc w:val="both"/>
      </w:pPr>
      <w:r>
        <w:rPr>
          <w:rFonts w:ascii="Times New Roman" w:cs="Times New Roman" w:eastAsia="Times New Roman" w:hAnsi="Times New Roman"/>
          <w:sz w:val="24"/>
          <w:szCs w:val="24"/>
        </w:rPr>
        <w:t xml:space="preserve">VII - condutor e Operador de Viaturas;</w:t>
      </w:r>
    </w:p>
    <w:p>
      <w:pPr>
        <w:spacing w:after="60" w:line="360"/>
        <w:ind w:left="708" w:hanging="340"/>
        <w:jc w:val="both"/>
      </w:pPr>
      <w:r>
        <w:rPr>
          <w:rFonts w:ascii="Times New Roman" w:cs="Times New Roman" w:eastAsia="Times New Roman" w:hAnsi="Times New Roman"/>
          <w:sz w:val="24"/>
          <w:szCs w:val="24"/>
        </w:rPr>
        <w:t xml:space="preserve">VIII - auxiliares do Comandante da Guarnição;</w:t>
      </w:r>
    </w:p>
    <w:p>
      <w:pPr>
        <w:spacing w:after="60" w:line="360"/>
        <w:ind w:left="708" w:hanging="340"/>
        <w:jc w:val="both"/>
      </w:pPr>
      <w:r>
        <w:rPr>
          <w:rFonts w:ascii="Times New Roman" w:cs="Times New Roman" w:eastAsia="Times New Roman" w:hAnsi="Times New Roman"/>
          <w:sz w:val="24"/>
          <w:szCs w:val="24"/>
        </w:rPr>
        <w:t xml:space="preserve">IX - operador de Rádio;</w:t>
      </w:r>
    </w:p>
    <w:p>
      <w:pPr>
        <w:spacing w:after="60" w:line="360"/>
        <w:ind w:left="708" w:hanging="340"/>
        <w:jc w:val="both"/>
      </w:pPr>
      <w:r>
        <w:rPr>
          <w:rFonts w:ascii="Times New Roman" w:cs="Times New Roman" w:eastAsia="Times New Roman" w:hAnsi="Times New Roman"/>
          <w:sz w:val="24"/>
          <w:szCs w:val="24"/>
        </w:rPr>
        <w:t xml:space="preserve">X - comandante de Guarda de Quartel;</w:t>
      </w:r>
    </w:p>
    <w:p>
      <w:pPr>
        <w:spacing w:after="60" w:line="360"/>
        <w:ind w:left="708" w:hanging="340"/>
        <w:jc w:val="both"/>
      </w:pPr>
      <w:r>
        <w:rPr>
          <w:rFonts w:ascii="Times New Roman" w:cs="Times New Roman" w:eastAsia="Times New Roman" w:hAnsi="Times New Roman"/>
          <w:sz w:val="24"/>
          <w:szCs w:val="24"/>
        </w:rPr>
        <w:t xml:space="preserve">XI - auxiliar da Guarda de OBM;</w:t>
      </w:r>
    </w:p>
    <w:p>
      <w:pPr>
        <w:spacing w:after="60" w:line="360"/>
        <w:ind w:left="708" w:hanging="340"/>
        <w:jc w:val="both"/>
      </w:pPr>
      <w:r>
        <w:rPr>
          <w:rFonts w:ascii="Times New Roman" w:cs="Times New Roman" w:eastAsia="Times New Roman" w:hAnsi="Times New Roman"/>
          <w:sz w:val="24"/>
          <w:szCs w:val="24"/>
        </w:rPr>
        <w:t xml:space="preserve">XII - socorristas; e</w:t>
      </w:r>
    </w:p>
    <w:p>
      <w:pPr>
        <w:spacing w:after="60" w:line="360"/>
        <w:ind w:left="708" w:hanging="340"/>
        <w:jc w:val="both"/>
      </w:pPr>
      <w:r>
        <w:rPr>
          <w:rFonts w:ascii="Times New Roman" w:cs="Times New Roman" w:eastAsia="Times New Roman" w:hAnsi="Times New Roman"/>
          <w:sz w:val="24"/>
          <w:szCs w:val="24"/>
        </w:rPr>
        <w:t xml:space="preserve">XIII - permanência.</w:t>
      </w:r>
    </w:p>
    <w:p>
      <w:pPr>
        <w:spacing w:after="80" w:before="160"/>
        <w:jc w:val="center"/>
      </w:pPr>
      <w:r>
        <w:rPr>
          <w:rFonts w:ascii="Times New Roman" w:cs="Times New Roman" w:eastAsia="Times New Roman" w:hAnsi="Times New Roman"/>
          <w:b/>
          <w:bCs/>
          <w:i/>
          <w:iCs/>
          <w:sz w:val="22"/>
          <w:szCs w:val="22"/>
        </w:rPr>
        <w:t xml:space="preserve">RISD, Cap. VI — Regime e Escalas de Serviço</w:t>
      </w:r>
    </w:p>
    <w:p>
      <w:pPr>
        <w:spacing w:after="60" w:line="360"/>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60" w:line="360"/>
        <w:ind w:left="1134" w:hanging="0"/>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Artigo em duplicidade com o Art. 10</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Os interessados (substituto e substituído) em permutar o serviço deverão preencher o formulário padrão para esse tipo de solicitação existente na Seção de Pessoal do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120" w:line="360"/>
        <w:ind w:firstLine="708"/>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Somente concorrerão à escala de Comandante de Socorro e de Oficial de dia os oficiais subalternos e Aspirantes a Oficial.</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Esses serviços serão realizados no Quartel de cada respectiva Unidade Operacional em regime de trabalho de 24 horas, em casos excepcionais adotar-se-á o regime de turno diferenciado.</w:t>
      </w:r>
    </w:p>
    <w:p>
      <w:pPr>
        <w:spacing w:after="60" w:line="360"/>
        <w:ind w:left="708" w:hanging="0"/>
        <w:jc w:val="both"/>
      </w:pPr>
      <w:r>
        <w:rPr>
          <w:rFonts w:ascii="Times New Roman" w:cs="Times New Roman" w:eastAsia="Times New Roman" w:hAnsi="Times New Roman"/>
          <w:sz w:val="24"/>
          <w:szCs w:val="24"/>
        </w:rPr>
        <w:t xml:space="preserve">Parágrafo único. O serviço de Comandante de socorro e de Oficial de dia poderá ser realizado, a depender do efetivo da OBM, por um mesmo oficial.</w:t>
      </w:r>
    </w:p>
    <w:p>
      <w:pPr>
        <w:spacing w:after="120" w:line="360"/>
        <w:ind w:firstLine="708"/>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Todos os aspectos relacionados ao serviço de Comandante de socorro e de Oficial de dia deverão observar às regras internas da OBM a que o Oficial estiver subordinado,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120" w:line="360"/>
        <w:ind w:firstLine="708"/>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Os casos omissos serão resolvidos em conjunto pelo Comandante Operacional de Bombeiros e pelo Comandante da OBM.</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80" w:before="160"/>
        <w:jc w:val="center"/>
      </w:pPr>
      <w:r>
        <w:rPr>
          <w:rFonts w:ascii="Times New Roman" w:cs="Times New Roman" w:eastAsia="Times New Roman" w:hAnsi="Times New Roman"/>
          <w:b/>
          <w:bCs/>
          <w:i/>
          <w:iCs/>
          <w:sz w:val="22"/>
          <w:szCs w:val="22"/>
        </w:rPr>
        <w:t xml:space="preserve">RISD, Caps. VIII–XI — Situações Extraordinárias, Viaturas, Apoio e Ocorrências</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As permutas de serviços fora do mês devem ser solicitadas com antecedência e devidamente motivadas para análise do comandante da OBM. durante Ocorrências</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O Comando do CBMRO, a fim de regularizar a questão envolvendo pacientes com distúrbios mentais no Estado de Rondônia determina que: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 SES/SSP e o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60" w:line="360"/>
        <w:ind w:left="708" w:hanging="340"/>
        <w:jc w:val="both"/>
      </w:pPr>
      <w:r>
        <w:rPr>
          <w:rFonts w:ascii="Times New Roman" w:cs="Times New Roman" w:eastAsia="Times New Roman" w:hAnsi="Times New Roman"/>
          <w:sz w:val="24"/>
          <w:szCs w:val="24"/>
        </w:rPr>
        <w:t xml:space="preserve">V - preencher a ficha de acidentes;</w:t>
      </w:r>
    </w:p>
    <w:p>
      <w:pPr>
        <w:spacing w:after="60" w:line="360"/>
        <w:ind w:left="708" w:hanging="340"/>
        <w:jc w:val="both"/>
      </w:pPr>
      <w:r>
        <w:rPr>
          <w:rFonts w:ascii="Times New Roman" w:cs="Times New Roman" w:eastAsia="Times New Roman" w:hAnsi="Times New Roman"/>
          <w:sz w:val="24"/>
          <w:szCs w:val="24"/>
        </w:rPr>
        <w:t xml:space="preserve">VI - arrolar testemunhas;</w:t>
      </w:r>
    </w:p>
    <w:p>
      <w:pPr>
        <w:spacing w:after="60" w:line="360"/>
        <w:ind w:left="708" w:hanging="340"/>
        <w:jc w:val="both"/>
      </w:pPr>
      <w:r>
        <w:rPr>
          <w:rFonts w:ascii="Times New Roman" w:cs="Times New Roman" w:eastAsia="Times New Roman" w:hAnsi="Times New Roman"/>
          <w:sz w:val="24"/>
          <w:szCs w:val="24"/>
        </w:rPr>
        <w:t xml:space="preserve">VII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VIII - relatar os fatos, através de um relatório de detalhado;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o SAMU sempre que o acidente, pela sua gravidade, envolva o transporte de vítimas;</w:t>
      </w:r>
    </w:p>
    <w:p>
      <w:pPr>
        <w:spacing w:after="60" w:line="360"/>
        <w:ind w:left="708" w:hanging="340"/>
        <w:jc w:val="both"/>
      </w:pPr>
      <w:r>
        <w:rPr>
          <w:rFonts w:ascii="Times New Roman" w:cs="Times New Roman" w:eastAsia="Times New Roman" w:hAnsi="Times New Roman"/>
          <w:sz w:val="24"/>
          <w:szCs w:val="24"/>
        </w:rPr>
        <w:t xml:space="preserve">X - solicitar a presença da companhia responsável pela manutenção de elevadores, sempre que neste ocorrer defeito ou acidentes envolvendo vítimas;</w:t>
      </w:r>
    </w:p>
    <w:p>
      <w:pPr>
        <w:spacing w:after="60" w:line="360"/>
        <w:ind w:left="708" w:hanging="340"/>
        <w:jc w:val="both"/>
      </w:pPr>
      <w:r>
        <w:rPr>
          <w:rFonts w:ascii="Times New Roman" w:cs="Times New Roman" w:eastAsia="Times New Roman" w:hAnsi="Times New Roman"/>
          <w:sz w:val="24"/>
          <w:szCs w:val="24"/>
        </w:rPr>
        <w:t xml:space="preserve">XI - acionar o helicóptero do GTA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XII - solicitar o apoio da Capitania dos Portos nos acidentes aquáticos; e</w:t>
      </w:r>
    </w:p>
    <w:p>
      <w:pPr>
        <w:spacing w:after="60" w:line="360"/>
        <w:ind w:left="708" w:hanging="340"/>
        <w:jc w:val="both"/>
      </w:pPr>
      <w:r>
        <w:rPr>
          <w:rFonts w:ascii="Times New Roman" w:cs="Times New Roman" w:eastAsia="Times New Roman" w:hAnsi="Times New Roman"/>
          <w:sz w:val="24"/>
          <w:szCs w:val="24"/>
        </w:rPr>
        <w:t xml:space="preserve">XIII - solicitar os órgãos ambientais IBAMA e ou SEDAM nos acidentes contra o meio ambiente. Grande Porte.</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coordenação dos grupos de apoio interno e externo deverá ser feita pelo Comandante de Operações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O Comandante de Operações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de Operações, quanto ao seu emprego e atuação.</w:t>
      </w:r>
    </w:p>
    <w:p>
      <w:pPr>
        <w:spacing w:after="60" w:line="360"/>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A participação e ou o emprego do recurso humano extraordinário ficará condicionada a decisão do Oficial de Dia ou Cmt de Operações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 Disposições Gerais</w:t>
      </w:r>
    </w:p>
    <w:p>
      <w:pPr>
        <w:spacing w:after="80" w:before="160"/>
        <w:jc w:val="center"/>
      </w:pPr>
      <w:r>
        <w:rPr>
          <w:rFonts w:ascii="Times New Roman" w:cs="Times New Roman" w:eastAsia="Times New Roman" w:hAnsi="Times New Roman"/>
          <w:b/>
          <w:bCs/>
          <w:i/>
          <w:iCs/>
          <w:sz w:val="22"/>
          <w:szCs w:val="22"/>
        </w:rPr>
        <w:t xml:space="preserve">Da prestação de informações à imprensa</w:t>
      </w:r>
    </w:p>
    <w:p>
      <w:pPr>
        <w:spacing w:after="60" w:line="360"/>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spacing w:after="80" w:before="160"/>
        <w:jc w:val="center"/>
      </w:pPr>
      <w:r>
        <w:rPr>
          <w:rFonts w:ascii="Times New Roman" w:cs="Times New Roman" w:eastAsia="Times New Roman" w:hAnsi="Times New Roman"/>
          <w:b/>
          <w:bCs/>
          <w:i/>
          <w:iCs/>
          <w:sz w:val="22"/>
          <w:szCs w:val="22"/>
        </w:rPr>
        <w:t xml:space="preserve">Do atendimento a tentativas de suicídio</w:t>
      </w:r>
    </w:p>
    <w:p>
      <w:pPr>
        <w:spacing w:after="60" w:line="360"/>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 CENTRAL DE OPERAÇÕES E DO TELEDESPACHO</w:t>
      </w:r>
    </w:p>
    <w:p>
      <w:pPr>
        <w:spacing w:after="80" w:before="160"/>
        <w:jc w:val="center"/>
      </w:pPr>
      <w:r>
        <w:rPr>
          <w:rFonts w:ascii="Times New Roman" w:cs="Times New Roman" w:eastAsia="Times New Roman" w:hAnsi="Times New Roman"/>
          <w:b/>
          <w:bCs/>
          <w:i/>
          <w:iCs/>
          <w:sz w:val="22"/>
          <w:szCs w:val="22"/>
        </w:rPr>
        <w:t xml:space="preserve">NGA-CIOP-001/2026 — Dos Supervisores</w:t>
      </w:r>
    </w:p>
    <w:p>
      <w:pPr>
        <w:spacing w:after="60" w:line="360"/>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80" w:before="160"/>
        <w:jc w:val="center"/>
      </w:pPr>
      <w:r>
        <w:rPr>
          <w:rFonts w:ascii="Times New Roman" w:cs="Times New Roman" w:eastAsia="Times New Roman" w:hAnsi="Times New Roman"/>
          <w:b/>
          <w:bCs/>
          <w:i/>
          <w:iCs/>
          <w:sz w:val="22"/>
          <w:szCs w:val="22"/>
        </w:rPr>
        <w:t xml:space="preserve">NGA-CIOP-001/2026 — Dos Atendentes</w:t>
      </w:r>
    </w:p>
    <w:p>
      <w:pPr>
        <w:spacing w:after="60" w:line="360"/>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80" w:before="160"/>
        <w:jc w:val="center"/>
      </w:pPr>
      <w:r>
        <w:rPr>
          <w:rFonts w:ascii="Times New Roman" w:cs="Times New Roman" w:eastAsia="Times New Roman" w:hAnsi="Times New Roman"/>
          <w:b/>
          <w:bCs/>
          <w:i/>
          <w:iCs/>
          <w:sz w:val="22"/>
          <w:szCs w:val="22"/>
        </w:rPr>
        <w:t xml:space="preserve">NGA-CIOP-001/2026 — Dos Despachadores</w:t>
      </w:r>
    </w:p>
    <w:p>
      <w:pPr>
        <w:spacing w:after="60" w:line="360"/>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80" w:before="160"/>
        <w:jc w:val="center"/>
      </w:pPr>
      <w:r>
        <w:rPr>
          <w:rFonts w:ascii="Times New Roman" w:cs="Times New Roman" w:eastAsia="Times New Roman" w:hAnsi="Times New Roman"/>
          <w:b/>
          <w:bCs/>
          <w:i/>
          <w:iCs/>
          <w:sz w:val="22"/>
          <w:szCs w:val="22"/>
        </w:rPr>
        <w:t xml:space="preserve">NGA-CIOP-001/2026 — Da remissão às demais matérias</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SERVIÇO INTERNO E DE DIA</w:t>
      </w:r>
    </w:p>
    <w:p>
      <w:pPr>
        <w:spacing w:after="60" w:line="360"/>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Cada Unidade Operacional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 instrução deverá ser ministrada impreterivelmente pelo Comandante de Socorro.</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Aos assuntos que exijam conhecimento específico, deverão ser solicitados a Diretoria de Pessoal,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O Comandante de Socorro e/ou 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O acesso aos alojamento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Após as 22h00 as luzes do alojamento deverão ser apagadas, ficando proibido a prática de quaisquer atividades, exceto o acionamento e preparação para atendimento de ocorrência.</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 Prontidão deverá está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O Comandante da guarnição deverá solicitar ao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 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 Comandante de guarnição ao regressar de uma ocorrência deverá imediatamente apresentar-se ao Chefe da Prontidão, relatando os fatos ocorridos durante a operação, lembrando de informar ao Central Integrada de Operações o desfecho da ocorrência.</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120" w:line="360"/>
        <w:ind w:firstLine="708"/>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Os militares escalados na Reserva Técnica Operacional (RTO) ficam subordinados ao Cmt de Socorro durante o serviço.</w:t>
      </w:r>
    </w:p>
    <w:p>
      <w:pPr>
        <w:spacing w:after="120" w:line="360"/>
        <w:ind w:firstLine="708"/>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p>
      <w:pPr>
        <w:spacing w:after="120" w:line="360"/>
        <w:ind w:firstLine="708"/>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Fica atribuída à RTO a manutenção de primeiro escalão dos materiais e equipamentos operacionais.</w:t>
      </w:r>
    </w:p>
    <w:p>
      <w:pPr>
        <w:spacing w:after="120" w:line="360"/>
        <w:ind w:firstLine="708"/>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Caso necessário, o militar da Reserva Técnica poderá compor a escala de ronda do quartel. Neste caso o mlitar deverá trajar o uniforme de prontidão 4ºA.</w:t>
      </w:r>
    </w:p>
    <w:p>
      <w:pPr>
        <w:spacing w:after="120" w:line="360"/>
        <w:ind w:firstLine="708"/>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O militar escalado na RTO poderá tirar o serviço com o uniforme 5B, salvo o disposto no artigo anterior.</w:t>
      </w:r>
    </w:p>
    <w:p>
      <w:pPr>
        <w:spacing w:after="120" w:line="360"/>
        <w:ind w:firstLine="708"/>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p>
      <w:pPr>
        <w:spacing w:after="120" w:line="360"/>
        <w:ind w:firstLine="708"/>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120" w:line="360"/>
        <w:ind w:firstLine="708"/>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SEGURANÇA CONTRA INCÊNDIO E PÂNICO</w:t>
      </w:r>
    </w:p>
    <w:p>
      <w:pPr>
        <w:spacing w:after="80" w:before="160"/>
        <w:jc w:val="center"/>
      </w:pPr>
      <w:r>
        <w:rPr>
          <w:rFonts w:ascii="Times New Roman" w:cs="Times New Roman" w:eastAsia="Times New Roman" w:hAnsi="Times New Roman"/>
          <w:b/>
          <w:bCs/>
          <w:i/>
          <w:iCs/>
          <w:sz w:val="22"/>
          <w:szCs w:val="22"/>
        </w:rPr>
        <w:t xml:space="preserve">Cap. I — Do órgão responsável</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80" w:before="160"/>
        <w:jc w:val="center"/>
      </w:pPr>
      <w:r>
        <w:rPr>
          <w:rFonts w:ascii="Times New Roman" w:cs="Times New Roman" w:eastAsia="Times New Roman" w:hAnsi="Times New Roman"/>
          <w:b/>
          <w:bCs/>
          <w:i/>
          <w:iCs/>
          <w:sz w:val="22"/>
          <w:szCs w:val="22"/>
        </w:rPr>
        <w:t xml:space="preserve">Cap. II — Das Seções da Coordenadoria</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80" w:before="160"/>
        <w:jc w:val="center"/>
      </w:pPr>
      <w:r>
        <w:rPr>
          <w:rFonts w:ascii="Times New Roman" w:cs="Times New Roman" w:eastAsia="Times New Roman" w:hAnsi="Times New Roman"/>
          <w:b/>
          <w:bCs/>
          <w:i/>
          <w:iCs/>
          <w:sz w:val="22"/>
          <w:szCs w:val="22"/>
        </w:rPr>
        <w:t xml:space="preserve">Cap. III — Das Diretorias de Atividades Técnicas</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80" w:before="160"/>
        <w:jc w:val="center"/>
      </w:pPr>
      <w:r>
        <w:rPr>
          <w:rFonts w:ascii="Times New Roman" w:cs="Times New Roman" w:eastAsia="Times New Roman" w:hAnsi="Times New Roman"/>
          <w:b/>
          <w:bCs/>
          <w:i/>
          <w:iCs/>
          <w:sz w:val="22"/>
          <w:szCs w:val="22"/>
        </w:rPr>
        <w:t xml:space="preserve">Cap. IV — Das Seções das Diretorias</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80" w:before="160"/>
        <w:jc w:val="center"/>
      </w:pPr>
      <w:r>
        <w:rPr>
          <w:rFonts w:ascii="Times New Roman" w:cs="Times New Roman" w:eastAsia="Times New Roman" w:hAnsi="Times New Roman"/>
          <w:b/>
          <w:bCs/>
          <w:i/>
          <w:iCs/>
          <w:sz w:val="22"/>
          <w:szCs w:val="22"/>
        </w:rPr>
        <w:t xml:space="preserve">Cap. V — Das Seções de Atividades Técnicas</w:t>
      </w:r>
    </w:p>
    <w:p>
      <w:pPr>
        <w:spacing w:after="60" w:line="360"/>
        <w:jc w:val="both"/>
      </w:pPr>
      <w:r>
        <w:rPr>
          <w:rFonts w:ascii="Times New Roman" w:cs="Times New Roman" w:eastAsia="Times New Roman" w:hAnsi="Times New Roman"/>
          <w:b/>
          <w:bCs/>
          <w:sz w:val="24"/>
          <w:szCs w:val="24"/>
        </w:rPr>
        <w:t xml:space="preserve">Art. 165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80" w:before="160"/>
        <w:jc w:val="center"/>
      </w:pPr>
      <w:r>
        <w:rPr>
          <w:rFonts w:ascii="Times New Roman" w:cs="Times New Roman" w:eastAsia="Times New Roman" w:hAnsi="Times New Roman"/>
          <w:b/>
          <w:bCs/>
          <w:i/>
          <w:iCs/>
          <w:sz w:val="22"/>
          <w:szCs w:val="22"/>
        </w:rPr>
        <w:t xml:space="preserve">Cap. VI — Do Sistema de Segurança Contra Incêndio e Pânico</w:t>
      </w:r>
    </w:p>
    <w:p>
      <w:pPr>
        <w:spacing w:after="60" w:line="360"/>
        <w:jc w:val="both"/>
      </w:pPr>
      <w:r>
        <w:rPr>
          <w:rFonts w:ascii="Times New Roman" w:cs="Times New Roman" w:eastAsia="Times New Roman" w:hAnsi="Times New Roman"/>
          <w:b/>
          <w:bCs/>
          <w:sz w:val="24"/>
          <w:szCs w:val="24"/>
        </w:rPr>
        <w:t xml:space="preserve">Art. 166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80" w:before="160"/>
        <w:jc w:val="center"/>
      </w:pPr>
      <w:r>
        <w:rPr>
          <w:rFonts w:ascii="Times New Roman" w:cs="Times New Roman" w:eastAsia="Times New Roman" w:hAnsi="Times New Roman"/>
          <w:b/>
          <w:bCs/>
          <w:i/>
          <w:iCs/>
          <w:sz w:val="22"/>
          <w:szCs w:val="22"/>
        </w:rPr>
        <w:t xml:space="preserve">Cap. VII — Das penalidades</w:t>
      </w:r>
    </w:p>
    <w:p>
      <w:pPr>
        <w:spacing w:after="60" w:line="360"/>
        <w:jc w:val="both"/>
      </w:pPr>
      <w:r>
        <w:rPr>
          <w:rFonts w:ascii="Times New Roman" w:cs="Times New Roman" w:eastAsia="Times New Roman" w:hAnsi="Times New Roman"/>
          <w:b/>
          <w:bCs/>
          <w:sz w:val="24"/>
          <w:szCs w:val="24"/>
        </w:rPr>
        <w:t xml:space="preserve">Art. 167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80" w:before="160"/>
        <w:jc w:val="center"/>
      </w:pPr>
      <w:r>
        <w:rPr>
          <w:rFonts w:ascii="Times New Roman" w:cs="Times New Roman" w:eastAsia="Times New Roman" w:hAnsi="Times New Roman"/>
          <w:b/>
          <w:bCs/>
          <w:i/>
          <w:iCs/>
          <w:sz w:val="22"/>
          <w:szCs w:val="22"/>
        </w:rPr>
        <w:t xml:space="preserve">Cap. VIII — Das comissões e do direito de defesa</w:t>
      </w:r>
    </w:p>
    <w:p>
      <w:pPr>
        <w:spacing w:after="60" w:line="360"/>
        <w:jc w:val="both"/>
      </w:pPr>
      <w:r>
        <w:rPr>
          <w:rFonts w:ascii="Times New Roman" w:cs="Times New Roman" w:eastAsia="Times New Roman" w:hAnsi="Times New Roman"/>
          <w:b/>
          <w:bCs/>
          <w:sz w:val="24"/>
          <w:szCs w:val="24"/>
        </w:rPr>
        <w:t xml:space="preserve">Art. 168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169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Batalhões Bombeiro Militar.</w:t>
      </w:r>
    </w:p>
    <w:p>
      <w:pPr>
        <w:spacing w:after="120" w:line="360"/>
        <w:ind w:firstLine="708"/>
        <w:jc w:val="both"/>
      </w:pPr>
      <w:r>
        <w:rPr>
          <w:rFonts w:ascii="Times New Roman" w:cs="Times New Roman" w:eastAsia="Times New Roman" w:hAnsi="Times New Roman"/>
          <w:b/>
          <w:bCs/>
          <w:sz w:val="24"/>
          <w:szCs w:val="24"/>
        </w:rPr>
        <w:t xml:space="preserve">Art. 170 </w:t>
      </w:r>
      <w:r>
        <w:rPr>
          <w:rFonts w:ascii="Times New Roman" w:cs="Times New Roman" w:eastAsia="Times New Roman" w:hAnsi="Times New Roman"/>
          <w:sz w:val="24"/>
          <w:szCs w:val="24"/>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171 </w:t>
      </w:r>
      <w:r>
        <w:rPr>
          <w:rFonts w:ascii="Times New Roman" w:cs="Times New Roman" w:eastAsia="Times New Roman" w:hAnsi="Times New Roman"/>
          <w:sz w:val="24"/>
          <w:szCs w:val="24"/>
        </w:rPr>
        <w:t xml:space="preserve">Os casos omissos ao presente Regulamento Geral serão dirimidos pelo Comandante-Geral do Corpo de Bombeiros Militar. ** Este texto não substitui o publicado no Boletim Geral Eletrônico – BGE</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2026-09-16T00:37:27.142Z</dcterms:created>
  <dcterms:modified xsi:type="dcterms:W3CDTF">2026-09-16T00:37:27.142Z</dcterms:modified>
</cp:coreProperties>
</file>

<file path=docProps/custom.xml><?xml version="1.0" encoding="utf-8"?>
<Properties xmlns="http://schemas.openxmlformats.org/officeDocument/2006/custom-properties" xmlns:vt="http://schemas.openxmlformats.org/officeDocument/2006/docPropsVTypes"/>
</file>