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 cy="619125"/>
                    </a:xfrm>
                    <a:prstGeom prst="rect">
                      <a:avLst/>
                    </a:prstGeom>
                  </pic:spPr>
                </pic:pic>
              </a:graphicData>
            </a:graphic>
          </wp:inline>
        </w:drawing>
      </w:r>
    </w:p>
    <w:p>
      <w:pPr>
        <w:spacing w:after="0" w:before="120"/>
        <w:jc w:val="center"/>
      </w:pPr>
      <w:r>
        <w:rPr>
          <w:rFonts w:ascii="Times New Roman" w:cs="Times New Roman" w:eastAsia="Times New Roman" w:hAnsi="Times New Roman"/>
          <w:b/>
          <w:bCs/>
          <w:i w:val="false"/>
          <w:iCs w:val="false"/>
          <w:sz w:val="28"/>
          <w:szCs w:val="28"/>
        </w:rPr>
        <w:t xml:space="preserve">CORPO DE BOMBEIROS MILITAR DO ESTADO DE RONDÔNIA</w:t>
      </w:r>
    </w:p>
    <w:p>
      <w:pPr>
        <w:spacing w:after="0" w:before="0"/>
        <w:jc w:val="center"/>
      </w:pPr>
      <w:r>
        <w:rPr>
          <w:rFonts w:ascii="Times New Roman" w:cs="Times New Roman" w:eastAsia="Times New Roman" w:hAnsi="Times New Roman"/>
          <w:b w:val="false"/>
          <w:bCs w:val="false"/>
          <w:i w:val="false"/>
          <w:iCs w:val="false"/>
          <w:sz w:val="24"/>
          <w:szCs w:val="24"/>
        </w:rPr>
        <w:t xml:space="preserve">Análise das interações e proposta de aplicação — consulta da Minuta do Regulamento de Serviço</w:t>
      </w:r>
    </w:p>
    <w:p>
      <w:pPr>
        <w:spacing w:after="480" w:before="0"/>
        <w:jc w:val="center"/>
      </w:pPr>
      <w:r>
        <w:rPr>
          <w:rFonts w:ascii="Times New Roman" w:cs="Times New Roman" w:eastAsia="Times New Roman" w:hAnsi="Times New Roman"/>
          <w:b w:val="false"/>
          <w:bCs w:val="false"/>
          <w:i/>
          <w:iCs/>
          <w:sz w:val="22"/>
          <w:szCs w:val="22"/>
        </w:rPr>
        <w:t xml:space="preserve">14 de setembro de 2026</w:t>
      </w:r>
    </w:p>
    <w:p>
      <w:pPr>
        <w:spacing w:after="120" w:line="300"/>
        <w:jc w:val="both"/>
      </w:pPr>
      <w:r>
        <w:rPr>
          <w:rFonts w:ascii="Times New Roman" w:cs="Times New Roman" w:eastAsia="Times New Roman" w:hAnsi="Times New Roman"/>
          <w:i w:val="false"/>
          <w:iCs w:val="false"/>
          <w:sz w:val="22"/>
          <w:szCs w:val="22"/>
        </w:rPr>
        <w:t xml:space="preserve">Data: 11 de setembro de 2026. Fonte: coleção de sugestões do Portal de Legislação CBM (exportada em 11/09/2026, 14h50), cruzada com o texto da minuta em consulta (171 artigos, cenário Lei nº 2.204/2009) e com os textos finais já fechados no portal. Este documento acompanha o "Relatório das interações recebidas" (lista integral, registro a registro) e as duas minutas anexas (versão em consulta e versão reestruturada em Parte Geral e Parte Especial).</w:t>
      </w:r>
    </w:p>
    <w:p>
      <w:pPr>
        <w:spacing w:after="120" w:before="280"/>
      </w:pPr>
      <w:r>
        <w:rPr>
          <w:rFonts w:ascii="Times New Roman" w:cs="Times New Roman" w:eastAsia="Times New Roman" w:hAnsi="Times New Roman"/>
          <w:b/>
          <w:bCs/>
          <w:sz w:val="24"/>
          <w:szCs w:val="24"/>
        </w:rPr>
        <w:t xml:space="preserve">1. Panorama da consulta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Indicador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Valor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Militares cadastrados com acesso "Só Regulamento de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 (8 reais + 1 conta de teste)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Militares que registraram 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 — Cel. BM Luiz Eduardo Oliveira Firmino (cadastrado pelo 3º GBM, COB II, Vilhena), o mesmo oficial que sugeriu a estrutura em Parte Geral e Parte Especial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Sugestões do Cel. Luiz Eduardo sobre o recorte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271 (19/08 e 25/08/2026)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Dispositivos do recorte com texto final "fechado" no portal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78 (21 com redação nova, 13 marcados "Excluir", 44 fechados sem texto)</w:t>
            </w:r>
          </w:p>
        </w:tc>
      </w:tr>
    </w:tbl>
    <w:p>
      <w:pPr>
        <w:spacing w:after="120"/>
      </w:pPr>
    </w:p>
    <w:p>
      <w:pPr>
        <w:spacing w:after="120" w:line="300"/>
        <w:jc w:val="both"/>
      </w:pPr>
      <w:r>
        <w:rPr>
          <w:rFonts w:ascii="Times New Roman" w:cs="Times New Roman" w:eastAsia="Times New Roman" w:hAnsi="Times New Roman"/>
          <w:i w:val="false"/>
          <w:iCs w:val="false"/>
          <w:sz w:val="22"/>
          <w:szCs w:val="22"/>
        </w:rPr>
        <w:t xml:space="preserve">Os registros feitos pelas contas de administração do portal durante a revisão interna do texto (correções de grafia, resíduos de extração, nomenclatura e ajustes de redação, ago/2026) não são sugestões da consulta: foram incorporados diretamente à versão atual da minuta e aparecem no Comparativo como correções e alterações de texto, sem constar deste relatório.</w:t>
      </w:r>
    </w:p>
    <w:p>
      <w:pPr>
        <w:spacing w:after="120" w:line="300"/>
        <w:jc w:val="both"/>
      </w:pPr>
      <w:r>
        <w:rPr>
          <w:rFonts w:ascii="Times New Roman" w:cs="Times New Roman" w:eastAsia="Times New Roman" w:hAnsi="Times New Roman"/>
          <w:i w:val="false"/>
          <w:iCs w:val="false"/>
          <w:sz w:val="22"/>
          <w:szCs w:val="22"/>
        </w:rPr>
        <w:t xml:space="preserve">Quem entrou e não se manifestou: os cinco integrantes do serviço técnico (DAT Porto Velho — Frederico Bani Maier e Sérgio Felipe Furukawa; DAT Ji-Paraná — Cap. BM Anderson Alves Lima; DAT Cacoal — Érica Barreto; DAT Cacoal/SAT Rolim — Lindonei Conceição) fizeram login em 18 e 19/08 e não registraram nada. O 2º GBM (Annelsandre Costa) segue com cadastro pendente e nunca acessou. Consequência prática: o Título do Serviço Técnico não recebeu nenhuma validação da área que o executa, enquanto o Serviço Operacional recebeu uma reescrita quase integral de um único oficial. O Cel. Luiz Eduardo usou duas contas (hotmail e gmail); os registros foram somados.</w:t>
      </w:r>
    </w:p>
    <w:p>
      <w:pPr>
        <w:spacing w:after="120" w:before="280"/>
      </w:pPr>
      <w:r>
        <w:rPr>
          <w:rFonts w:ascii="Times New Roman" w:cs="Times New Roman" w:eastAsia="Times New Roman" w:hAnsi="Times New Roman"/>
          <w:b/>
          <w:bCs/>
          <w:sz w:val="24"/>
          <w:szCs w:val="24"/>
        </w:rPr>
        <w:t xml:space="preserve">2. Natureza das contribuições do Cel. Luiz Eduardo</w:t>
      </w:r>
    </w:p>
    <w:p>
      <w:pPr>
        <w:spacing w:after="120" w:line="300"/>
        <w:jc w:val="both"/>
      </w:pPr>
      <w:r>
        <w:rPr>
          <w:rFonts w:ascii="Times New Roman" w:cs="Times New Roman" w:eastAsia="Times New Roman" w:hAnsi="Times New Roman"/>
          <w:i w:val="false"/>
          <w:iCs w:val="false"/>
          <w:sz w:val="22"/>
          <w:szCs w:val="22"/>
        </w:rPr>
        <w:t xml:space="preserve">Não são comentários pontuais. O oficial redigiu texto substitutivo completo, inciso por inciso, colando cada inciso no balão do dispositivo mais próximo (por isso há dezenas de registros num mesmo endereço, como "Art. 4º, inciso V"). Lidos em sequência, os 271 registros formam 14 blocos, abaixo, com o parecer e a forma de aplicação de cada um. As marcações de parecer são: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(aplicar como está, com ajustes de forma), </w:t>
      </w:r>
      <w:r>
        <w:rPr>
          <w:rFonts w:ascii="Times New Roman" w:cs="Times New Roman" w:eastAsia="Times New Roman" w:hAnsi="Times New Roman"/>
          <w:b/>
          <w:bCs/>
          <w:i w:val="false"/>
          <w:iCs w:val="false"/>
          <w:sz w:val="22"/>
          <w:szCs w:val="22"/>
        </w:rPr>
        <w:t xml:space="preserve">ACOLHER COM CONFERÊNCIA</w:t>
      </w:r>
      <w:r>
        <w:rPr>
          <w:rFonts w:ascii="Times New Roman" w:cs="Times New Roman" w:eastAsia="Times New Roman" w:hAnsi="Times New Roman"/>
          <w:i w:val="false"/>
          <w:iCs w:val="false"/>
          <w:sz w:val="22"/>
          <w:szCs w:val="22"/>
        </w:rPr>
        <w:t xml:space="preserve"> (aplicar após checar um ponto objetivo), </w:t>
      </w:r>
      <w:r>
        <w:rPr>
          <w:rFonts w:ascii="Times New Roman" w:cs="Times New Roman" w:eastAsia="Times New Roman" w:hAnsi="Times New Roman"/>
          <w:b/>
          <w:bCs/>
          <w:i w:val="false"/>
          <w:iCs w:val="false"/>
          <w:sz w:val="22"/>
          <w:szCs w:val="22"/>
        </w:rPr>
        <w:t xml:space="preserve">DECISÃO</w:t>
      </w:r>
      <w:r>
        <w:rPr>
          <w:rFonts w:ascii="Times New Roman" w:cs="Times New Roman" w:eastAsia="Times New Roman" w:hAnsi="Times New Roman"/>
          <w:i w:val="false"/>
          <w:iCs w:val="false"/>
          <w:sz w:val="22"/>
          <w:szCs w:val="22"/>
        </w:rPr>
        <w:t xml:space="preserve"> (depende de deliberação de mérito do CONDEG ou do Comando).</w:t>
      </w:r>
    </w:p>
    <w:p>
      <w:pPr>
        <w:spacing w:after="80" w:before="200"/>
      </w:pPr>
      <w:r>
        <w:rPr>
          <w:rFonts w:ascii="Times New Roman" w:cs="Times New Roman" w:eastAsia="Times New Roman" w:hAnsi="Times New Roman"/>
          <w:b/>
          <w:bCs/>
          <w:i/>
          <w:iCs/>
          <w:sz w:val="22"/>
          <w:szCs w:val="22"/>
        </w:rPr>
        <w:t xml:space="preserve">Bloco 1 — Competências do CBMRO (Art. 3º da minuta; `disposicoes-preliminares/mt-art-3`) — 26 registros</w:t>
      </w:r>
    </w:p>
    <w:p>
      <w:pPr>
        <w:spacing w:after="120" w:line="300"/>
        <w:jc w:val="both"/>
      </w:pPr>
      <w:r>
        <w:rPr>
          <w:rFonts w:ascii="Times New Roman" w:cs="Times New Roman" w:eastAsia="Times New Roman" w:hAnsi="Times New Roman"/>
          <w:i w:val="false"/>
          <w:iCs w:val="false"/>
          <w:sz w:val="22"/>
          <w:szCs w:val="22"/>
        </w:rPr>
        <w:t xml:space="preserve">Propõe substituir o rol de 11 incisos, importado do Regulamento do CBMMT, pelos 25 incisos do art. 2º da Lei nº 2.204/2009 (redação da Lei nº 3.413/2014), transcritos integralmente. Conferido contra o texto da LOB no acervo do portal: a transcrição é fiel.</w:t>
      </w:r>
    </w:p>
    <w:p>
      <w:pPr>
        <w:spacing w:after="120" w:line="300"/>
        <w:jc w:val="both"/>
      </w:pPr>
      <w:r>
        <w:rPr>
          <w:rFonts w:ascii="Times New Roman" w:cs="Times New Roman" w:eastAsia="Times New Roman" w:hAnsi="Times New Roman"/>
          <w:i w:val="false"/>
          <w:iCs w:val="false"/>
          <w:sz w:val="22"/>
          <w:szCs w:val="22"/>
        </w:rPr>
        <w:t xml:space="preserve">Parecer: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O Regulamento de Serviço circula sozinho na tropa; a transcrição evita remissão a texto que o leitor não tem à mão. Aplicação: substituir caput e incisos do </w:t>
      </w:r>
      <w:r>
        <w:rPr>
          <w:rFonts w:ascii="Times New Roman" w:cs="Times New Roman" w:eastAsia="Times New Roman" w:hAnsi="Times New Roman"/>
          <w:i/>
          <w:iCs/>
          <w:sz w:val="22"/>
          <w:szCs w:val="22"/>
        </w:rPr>
        <w:t xml:space="preserve">mt-art-3</w:t>
      </w:r>
      <w:r>
        <w:rPr>
          <w:rFonts w:ascii="Times New Roman" w:cs="Times New Roman" w:eastAsia="Times New Roman" w:hAnsi="Times New Roman"/>
          <w:i w:val="false"/>
          <w:iCs w:val="false"/>
          <w:sz w:val="22"/>
          <w:szCs w:val="22"/>
        </w:rPr>
        <w:t xml:space="preserve"> pela transcrição, com o caput "Compete ao CBMRO, nos termos do art. 2º da Lei nº 2.204/2009, a execução das seguintes atividades:". A citação do Art. 1º ("Art. 82 da Constituição Estadual", referência de Mato Grosso) já está corrigida para o art. 148 na versão atual.</w:t>
      </w:r>
    </w:p>
    <w:p>
      <w:pPr>
        <w:spacing w:after="80" w:before="200"/>
      </w:pPr>
      <w:r>
        <w:rPr>
          <w:rFonts w:ascii="Times New Roman" w:cs="Times New Roman" w:eastAsia="Times New Roman" w:hAnsi="Times New Roman"/>
          <w:b/>
          <w:bCs/>
          <w:i/>
          <w:iCs/>
          <w:sz w:val="22"/>
          <w:szCs w:val="22"/>
        </w:rPr>
        <w:t xml:space="preserve">Bloco 2 — Comandante Operacional de Bombeiros (Art. 4º; `atribuicoes-funcoes/ro-art-1`) — 42 registros</w:t>
      </w:r>
    </w:p>
    <w:p>
      <w:pPr>
        <w:spacing w:after="120" w:line="300"/>
        <w:jc w:val="both"/>
      </w:pPr>
      <w:r>
        <w:rPr>
          <w:rFonts w:ascii="Times New Roman" w:cs="Times New Roman" w:eastAsia="Times New Roman" w:hAnsi="Times New Roman"/>
          <w:i w:val="false"/>
          <w:iCs w:val="false"/>
          <w:sz w:val="22"/>
          <w:szCs w:val="22"/>
        </w:rPr>
        <w:t xml:space="preserve">Duas partes: (a) transcrever o art. 35 e o parágrafo único da LOB (natureza e estrutura do COB: Comandante, Adjunto, Seções de Pessoal, Administrativa, Informática, Correição, Planejamento Operacional e Controle de Resultados, Agência Regional de Inteligência, Órgãos de Execução); (b) 21 incisos de atribuições no lugar dos 8 atuais.</w:t>
      </w:r>
    </w:p>
    <w:p>
      <w:pPr>
        <w:spacing w:after="120" w:line="300"/>
        <w:jc w:val="both"/>
      </w:pPr>
      <w:r>
        <w:rPr>
          <w:rFonts w:ascii="Times New Roman" w:cs="Times New Roman" w:eastAsia="Times New Roman" w:hAnsi="Times New Roman"/>
          <w:i w:val="false"/>
          <w:iCs w:val="false"/>
          <w:sz w:val="22"/>
          <w:szCs w:val="22"/>
        </w:rPr>
        <w:t xml:space="preserve">Parecer (a):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como artigo de abertura do capítulo das funções do COB. Corrigir a data da citação, que veio "25/0/2018" (é 25/06/2018). Parecer (b): </w:t>
      </w:r>
      <w:r>
        <w:rPr>
          <w:rFonts w:ascii="Times New Roman" w:cs="Times New Roman" w:eastAsia="Times New Roman" w:hAnsi="Times New Roman"/>
          <w:b/>
          <w:bCs/>
          <w:i w:val="false"/>
          <w:iCs w:val="false"/>
          <w:sz w:val="22"/>
          <w:szCs w:val="22"/>
        </w:rPr>
        <w:t xml:space="preserve">ACOLHER COM CONFERÊNCIA</w:t>
      </w:r>
      <w:r>
        <w:rPr>
          <w:rFonts w:ascii="Times New Roman" w:cs="Times New Roman" w:eastAsia="Times New Roman" w:hAnsi="Times New Roman"/>
          <w:i w:val="false"/>
          <w:iCs w:val="false"/>
          <w:sz w:val="22"/>
          <w:szCs w:val="22"/>
        </w:rPr>
        <w:t xml:space="preserve">. Os incisos I a IX, XIV a XXI absorvem e detalham os atuais. Pontos a conferir antes de incorporar:</w:t>
      </w:r>
    </w:p>
    <w:p>
      <w:pPr>
        <w:spacing w:after="60" w:line="300"/>
        <w:ind w:left="360" w:hanging="24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Incisos X a XIII fundamentam a movimentação de praças e oficiais no "art. 13 do Regulamento de Movimentação aprovado pelo Decreto nº 8.134, de 18 de dezembro de 1997". Esse decreto não está no acervo do portal; conferir a vigência e o teor do art. 13 antes de citá-lo num regulamento novo.</w:t>
      </w:r>
    </w:p>
    <w:p>
      <w:pPr>
        <w:spacing w:after="60" w:line="300"/>
        <w:ind w:left="360" w:hanging="24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Os atuais incisos V (autorizar por escrito a permuta do Oficial de Dia) e VI (acionar o Superior de Dia nas ocorrências de grande vulto) não aparecem na versão dele; manter os dois, porque são regras específicas que o texto genérico (inciso VIII, "autorizar alterações e permutas") não cobre.</w:t>
      </w:r>
    </w:p>
    <w:p>
      <w:pPr>
        <w:spacing w:after="80" w:before="200"/>
      </w:pPr>
      <w:r>
        <w:rPr>
          <w:rFonts w:ascii="Times New Roman" w:cs="Times New Roman" w:eastAsia="Times New Roman" w:hAnsi="Times New Roman"/>
          <w:b/>
          <w:bCs/>
          <w:i/>
          <w:iCs/>
          <w:sz w:val="22"/>
          <w:szCs w:val="22"/>
        </w:rPr>
        <w:t xml:space="preserve">Bloco 3 — Adjunto do COB (Art. 5º; `ro-art-2`) — 8 registros</w:t>
      </w:r>
    </w:p>
    <w:p>
      <w:pPr>
        <w:spacing w:after="120" w:line="300"/>
        <w:jc w:val="both"/>
      </w:pPr>
      <w:r>
        <w:rPr>
          <w:rFonts w:ascii="Times New Roman" w:cs="Times New Roman" w:eastAsia="Times New Roman" w:hAnsi="Times New Roman"/>
          <w:i w:val="false"/>
          <w:iCs w:val="false"/>
          <w:sz w:val="22"/>
          <w:szCs w:val="22"/>
        </w:rPr>
        <w:t xml:space="preserve">Oito incisos no lugar de três. Parecer: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mantendo o atual inciso II ("substituir o Comandante Operacional em seus impedimentos"), que a versão dele não repete e que é a função essencial do Adjunto.</w:t>
      </w:r>
    </w:p>
    <w:p>
      <w:pPr>
        <w:spacing w:after="80" w:before="200"/>
      </w:pPr>
      <w:r>
        <w:rPr>
          <w:rFonts w:ascii="Times New Roman" w:cs="Times New Roman" w:eastAsia="Times New Roman" w:hAnsi="Times New Roman"/>
          <w:b/>
          <w:bCs/>
          <w:i/>
          <w:iCs/>
          <w:sz w:val="22"/>
          <w:szCs w:val="22"/>
        </w:rPr>
        <w:t xml:space="preserve">Bloco 4 — Seção de Pessoal do COB (Art. 6º; `ro-art-3`) — 9 registros</w:t>
      </w:r>
    </w:p>
    <w:p>
      <w:pPr>
        <w:spacing w:after="120" w:line="300"/>
        <w:jc w:val="both"/>
      </w:pPr>
      <w:r>
        <w:rPr>
          <w:rFonts w:ascii="Times New Roman" w:cs="Times New Roman" w:eastAsia="Times New Roman" w:hAnsi="Times New Roman"/>
          <w:i w:val="false"/>
          <w:iCs w:val="false"/>
          <w:sz w:val="22"/>
          <w:szCs w:val="22"/>
        </w:rPr>
        <w:t xml:space="preserve">Caput mais incisos I e III a IX (o inciso II não foi enviado; renumerar). Parecer: </w:t>
      </w:r>
      <w:r>
        <w:rPr>
          <w:rFonts w:ascii="Times New Roman" w:cs="Times New Roman" w:eastAsia="Times New Roman" w:hAnsi="Times New Roman"/>
          <w:b/>
          <w:bCs/>
          <w:i w:val="false"/>
          <w:iCs w:val="false"/>
          <w:sz w:val="22"/>
          <w:szCs w:val="22"/>
        </w:rPr>
        <w:t xml:space="preserve">ACOLHER COM CONFERÊNCIA</w:t>
      </w:r>
      <w:r>
        <w:rPr>
          <w:rFonts w:ascii="Times New Roman" w:cs="Times New Roman" w:eastAsia="Times New Roman" w:hAnsi="Times New Roman"/>
          <w:i w:val="false"/>
          <w:iCs w:val="false"/>
          <w:sz w:val="22"/>
          <w:szCs w:val="22"/>
        </w:rPr>
        <w:t xml:space="preserve"> — o inciso III cita o mesmo Decreto nº 8.134/1997 do Bloco 2.</w:t>
      </w:r>
    </w:p>
    <w:p>
      <w:pPr>
        <w:spacing w:after="80" w:before="200"/>
      </w:pPr>
      <w:r>
        <w:rPr>
          <w:rFonts w:ascii="Times New Roman" w:cs="Times New Roman" w:eastAsia="Times New Roman" w:hAnsi="Times New Roman"/>
          <w:b/>
          <w:bCs/>
          <w:i/>
          <w:iCs/>
          <w:sz w:val="22"/>
          <w:szCs w:val="22"/>
        </w:rPr>
        <w:t xml:space="preserve">Blocos 5 a 8 — Seções Administrativa (Art. 7º), de Informática (Art. 8º), de Correição (Art. 9º) e de Planejamento Operacional e Controle de Resultados (Art. 10) — 33 registros</w:t>
      </w:r>
    </w:p>
    <w:p>
      <w:pPr>
        <w:spacing w:after="120" w:line="300"/>
        <w:jc w:val="both"/>
      </w:pPr>
      <w:r>
        <w:rPr>
          <w:rFonts w:ascii="Times New Roman" w:cs="Times New Roman" w:eastAsia="Times New Roman" w:hAnsi="Times New Roman"/>
          <w:i w:val="false"/>
          <w:iCs w:val="false"/>
          <w:sz w:val="22"/>
          <w:szCs w:val="22"/>
        </w:rPr>
        <w:t xml:space="preserve">Caput e incisos completos para cada seção (9, 3, 8 e 9 incisos). Parecer: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A versão da Seção de Informática é mais realista que a atual: descreve uma seção de interlocução com a Diretoria de Informática, e não uma seção que "zela pelos sistemas corporativos". A Seção de Correição fica corretamente subordinada às competências da Corregedoria-Geral.</w:t>
      </w:r>
    </w:p>
    <w:p>
      <w:pPr>
        <w:spacing w:after="80" w:before="200"/>
      </w:pPr>
      <w:r>
        <w:rPr>
          <w:rFonts w:ascii="Times New Roman" w:cs="Times New Roman" w:eastAsia="Times New Roman" w:hAnsi="Times New Roman"/>
          <w:b/>
          <w:bCs/>
          <w:i/>
          <w:iCs/>
          <w:sz w:val="22"/>
          <w:szCs w:val="22"/>
        </w:rPr>
        <w:t xml:space="preserve">Bloco 9 — Agência Regional de Inteligência (Art. 11; `ro-art-8`) — 9 registros</w:t>
      </w:r>
    </w:p>
    <w:p>
      <w:pPr>
        <w:spacing w:after="120" w:line="300"/>
        <w:jc w:val="both"/>
      </w:pPr>
      <w:r>
        <w:rPr>
          <w:rFonts w:ascii="Times New Roman" w:cs="Times New Roman" w:eastAsia="Times New Roman" w:hAnsi="Times New Roman"/>
          <w:i w:val="false"/>
          <w:iCs w:val="false"/>
          <w:sz w:val="22"/>
          <w:szCs w:val="22"/>
        </w:rPr>
        <w:t xml:space="preserve">Caput e sete incisos. Parecer: </w:t>
      </w:r>
      <w:r>
        <w:rPr>
          <w:rFonts w:ascii="Times New Roman" w:cs="Times New Roman" w:eastAsia="Times New Roman" w:hAnsi="Times New Roman"/>
          <w:b/>
          <w:bCs/>
          <w:i w:val="false"/>
          <w:iCs w:val="false"/>
          <w:sz w:val="22"/>
          <w:szCs w:val="22"/>
        </w:rPr>
        <w:t xml:space="preserve">ACOLHER COM CONFERÊNCIA</w:t>
      </w:r>
      <w:r>
        <w:rPr>
          <w:rFonts w:ascii="Times New Roman" w:cs="Times New Roman" w:eastAsia="Times New Roman" w:hAnsi="Times New Roman"/>
          <w:i w:val="false"/>
          <w:iCs w:val="false"/>
          <w:sz w:val="22"/>
          <w:szCs w:val="22"/>
        </w:rPr>
        <w:t xml:space="preserve">: os incisos II e VI atribuem à ARI o trâmite de aquisição, transferência e restrição de porte de armamento; confirmar com a Diretoria de Inteligência e a Diretoria de Logística se essa é a rotina vigente. O registro nº 122 é a justificativa do Subgrupamento colada por engano neste artigo; descartar.</w:t>
      </w:r>
    </w:p>
    <w:p>
      <w:pPr>
        <w:spacing w:after="80" w:before="200"/>
      </w:pPr>
      <w:r>
        <w:rPr>
          <w:rFonts w:ascii="Times New Roman" w:cs="Times New Roman" w:eastAsia="Times New Roman" w:hAnsi="Times New Roman"/>
          <w:b/>
          <w:bCs/>
          <w:i/>
          <w:iCs/>
          <w:sz w:val="22"/>
          <w:szCs w:val="22"/>
        </w:rPr>
        <w:t xml:space="preserve">Bloco 10 — Comandante de Grupamento (Art. 12; `ro-art-9`) — 36 registros</w:t>
      </w:r>
    </w:p>
    <w:p>
      <w:pPr>
        <w:spacing w:after="120" w:line="300"/>
        <w:jc w:val="both"/>
      </w:pPr>
      <w:r>
        <w:rPr>
          <w:rFonts w:ascii="Times New Roman" w:cs="Times New Roman" w:eastAsia="Times New Roman" w:hAnsi="Times New Roman"/>
          <w:i w:val="false"/>
          <w:iCs w:val="false"/>
          <w:sz w:val="22"/>
          <w:szCs w:val="22"/>
        </w:rPr>
        <w:t xml:space="preserve">Três coisas: (a) 19 incisos de atribuições no lugar dos 4 atuais; (b) transcrição do art. 47, § 1º, da LOB (estrutura do GBM: Comando com Comandante, Subcomandante e Auxiliares; Estado-Maior B1 a B6) — conferida no acervo, fiel; (c) fundamentação para que o Regulamento discipline também Subcomandante, Auxiliares e as seis seções do Estado-Maior do GBM.</w:t>
      </w:r>
    </w:p>
    <w:p>
      <w:pPr>
        <w:spacing w:after="120" w:line="300"/>
        <w:jc w:val="both"/>
      </w:pPr>
      <w:r>
        <w:rPr>
          <w:rFonts w:ascii="Times New Roman" w:cs="Times New Roman" w:eastAsia="Times New Roman" w:hAnsi="Times New Roman"/>
          <w:i w:val="false"/>
          <w:iCs w:val="false"/>
          <w:sz w:val="22"/>
          <w:szCs w:val="22"/>
        </w:rPr>
        <w:t xml:space="preserve">Parecer: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(a) e (b);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(c) como frente de redação nova. O item (c) coincide com pendência já registrada no backlog do portal em 18/08 ("cadeia de comando abaixo do SGBM ficou órfã; o Subcomandante do GBM perdeu o artigo de MT sem substituto"). O oficial não redigiu esses artigos; a redação pode partir dos regulamentos de MT, PA e do RISG já carregados no Subsídio do portal, com adaptação.</w:t>
      </w:r>
    </w:p>
    <w:p>
      <w:pPr>
        <w:spacing w:after="80" w:before="200"/>
      </w:pPr>
      <w:r>
        <w:rPr>
          <w:rFonts w:ascii="Times New Roman" w:cs="Times New Roman" w:eastAsia="Times New Roman" w:hAnsi="Times New Roman"/>
          <w:b/>
          <w:bCs/>
          <w:i/>
          <w:iCs/>
          <w:sz w:val="22"/>
          <w:szCs w:val="22"/>
        </w:rPr>
        <w:t xml:space="preserve">Bloco 11 — Comandante de Subgrupamento (Art. 13; `ro-art-10`) — 19 registros</w:t>
      </w:r>
    </w:p>
    <w:p>
      <w:pPr>
        <w:spacing w:after="120" w:line="300"/>
        <w:jc w:val="both"/>
      </w:pPr>
      <w:r>
        <w:rPr>
          <w:rFonts w:ascii="Times New Roman" w:cs="Times New Roman" w:eastAsia="Times New Roman" w:hAnsi="Times New Roman"/>
          <w:i w:val="false"/>
          <w:iCs w:val="false"/>
          <w:sz w:val="22"/>
          <w:szCs w:val="22"/>
        </w:rPr>
        <w:t xml:space="preserve">18 incisos e a mesma proposta de detalhar Subcomandante e Auxiliares do SGBM. Parecer: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com a mesma frente de redação do Bloco 10.</w:t>
      </w:r>
    </w:p>
    <w:p>
      <w:pPr>
        <w:spacing w:after="80" w:before="200"/>
      </w:pPr>
      <w:r>
        <w:rPr>
          <w:rFonts w:ascii="Times New Roman" w:cs="Times New Roman" w:eastAsia="Times New Roman" w:hAnsi="Times New Roman"/>
          <w:b/>
          <w:bCs/>
          <w:i/>
          <w:iCs/>
          <w:sz w:val="22"/>
          <w:szCs w:val="22"/>
        </w:rPr>
        <w:t xml:space="preserve">Bloco 12 — Objetivos do Regulamento (Art. 24; `servico-operacional/se-art-2`) — 10 registros</w:t>
      </w:r>
    </w:p>
    <w:p>
      <w:pPr>
        <w:spacing w:after="120" w:line="300"/>
        <w:jc w:val="both"/>
      </w:pPr>
      <w:r>
        <w:rPr>
          <w:rFonts w:ascii="Times New Roman" w:cs="Times New Roman" w:eastAsia="Times New Roman" w:hAnsi="Times New Roman"/>
          <w:i w:val="false"/>
          <w:iCs w:val="false"/>
          <w:sz w:val="22"/>
          <w:szCs w:val="22"/>
        </w:rPr>
        <w:t xml:space="preserve">Caput e nove incisos, reescrevendo o texto herdado do RISD de Sergipe em linguagem atual. Parecer: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Na estrutura em Parte Geral e Parte Especial esse artigo sobe para a Parte Geral, e os incisos I e VI, que falam só em "Serviço Operacional", passam a dizer "serviço operacional e serviço técnico".</w:t>
      </w:r>
    </w:p>
    <w:p>
      <w:pPr>
        <w:spacing w:after="80" w:before="200"/>
      </w:pPr>
      <w:r>
        <w:rPr>
          <w:rFonts w:ascii="Times New Roman" w:cs="Times New Roman" w:eastAsia="Times New Roman" w:hAnsi="Times New Roman"/>
          <w:b/>
          <w:bCs/>
          <w:i/>
          <w:iCs/>
          <w:sz w:val="22"/>
          <w:szCs w:val="22"/>
        </w:rPr>
        <w:t xml:space="preserve">Bloco 13 — Política do serviço (Art. 25; `se-art-3`) — 14 registros</w:t>
      </w:r>
    </w:p>
    <w:p>
      <w:pPr>
        <w:spacing w:after="120" w:line="300"/>
        <w:jc w:val="both"/>
      </w:pPr>
      <w:r>
        <w:rPr>
          <w:rFonts w:ascii="Times New Roman" w:cs="Times New Roman" w:eastAsia="Times New Roman" w:hAnsi="Times New Roman"/>
          <w:i w:val="false"/>
          <w:iCs w:val="false"/>
          <w:sz w:val="22"/>
          <w:szCs w:val="22"/>
        </w:rPr>
        <w:t xml:space="preserve">Caput, parágrafo único e doze incisos. Parecer: </w:t>
      </w:r>
      <w:r>
        <w:rPr>
          <w:rFonts w:ascii="Times New Roman" w:cs="Times New Roman" w:eastAsia="Times New Roman" w:hAnsi="Times New Roman"/>
          <w:b/>
          <w:bCs/>
          <w:i w:val="false"/>
          <w:iCs w:val="false"/>
          <w:sz w:val="22"/>
          <w:szCs w:val="22"/>
        </w:rPr>
        <w:t xml:space="preserve">ACOLHER</w:t>
      </w:r>
      <w:r>
        <w:rPr>
          <w:rFonts w:ascii="Times New Roman" w:cs="Times New Roman" w:eastAsia="Times New Roman" w:hAnsi="Times New Roman"/>
          <w:i w:val="false"/>
          <w:iCs w:val="false"/>
          <w:sz w:val="22"/>
          <w:szCs w:val="22"/>
        </w:rPr>
        <w:t xml:space="preserve">. Corrige de quebra o defeito de extração do artigo atual ("Parágrafo Único" grudado no caput). Mesma adaptação de alcance do Bloco 12 se ficar na Parte Geral.</w:t>
      </w:r>
    </w:p>
    <w:p>
      <w:pPr>
        <w:spacing w:after="80" w:before="200"/>
      </w:pPr>
      <w:r>
        <w:rPr>
          <w:rFonts w:ascii="Times New Roman" w:cs="Times New Roman" w:eastAsia="Times New Roman" w:hAnsi="Times New Roman"/>
          <w:b/>
          <w:bCs/>
          <w:i/>
          <w:iCs/>
          <w:sz w:val="22"/>
          <w:szCs w:val="22"/>
        </w:rPr>
        <w:t xml:space="preserve">Bloco 14 — Funções do serviço diário (Art. 26; `se-art-4`) — 74 registros</w:t>
      </w:r>
    </w:p>
    <w:p>
      <w:pPr>
        <w:spacing w:after="120" w:line="300"/>
        <w:jc w:val="both"/>
      </w:pPr>
      <w:r>
        <w:rPr>
          <w:rFonts w:ascii="Times New Roman" w:cs="Times New Roman" w:eastAsia="Times New Roman" w:hAnsi="Times New Roman"/>
          <w:i w:val="false"/>
          <w:iCs w:val="false"/>
          <w:sz w:val="22"/>
          <w:szCs w:val="22"/>
        </w:rPr>
        <w:t xml:space="preserve">É o bloco de maior peso e o único que envolve decisão de mérito. O oficial constata que o Art. 26 lista as funções do serviço diário mas o Regulamento não sistematiza as atribuições de cada uma, e propõe uma seção por função (subordinação, área de atuação, atribuições, limites). Redigiu três:</w:t>
      </w:r>
    </w:p>
    <w:p>
      <w:pPr>
        <w:spacing w:after="120" w:line="300"/>
        <w:jc w:val="both"/>
      </w:pPr>
      <w:r>
        <w:rPr>
          <w:rFonts w:ascii="Times New Roman" w:cs="Times New Roman" w:eastAsia="Times New Roman" w:hAnsi="Times New Roman"/>
          <w:b/>
          <w:bCs/>
          <w:i w:val="false"/>
          <w:iCs w:val="false"/>
          <w:sz w:val="22"/>
          <w:szCs w:val="22"/>
        </w:rPr>
        <w:t xml:space="preserve">Superior de Dia</w:t>
      </w:r>
      <w:r>
        <w:rPr>
          <w:rFonts w:ascii="Times New Roman" w:cs="Times New Roman" w:eastAsia="Times New Roman" w:hAnsi="Times New Roman"/>
          <w:i w:val="false"/>
          <w:iCs w:val="false"/>
          <w:sz w:val="22"/>
          <w:szCs w:val="22"/>
        </w:rPr>
        <w:t xml:space="preserve"> (2 artigos, 12 competências). Restringe o serviço "exclusivamente à Capital", em sobreaviso, para Majores e Tenentes-Coronéis. A minuta em consulta diz o contrário: "a área de atuação do Superior de Dia abrange todo o território estadual" (Art. 35), e o texto final fechado em 17/08 põe a coordenação no Subcomandante-Geral. </w:t>
      </w:r>
      <w:r>
        <w:rPr>
          <w:rFonts w:ascii="Times New Roman" w:cs="Times New Roman" w:eastAsia="Times New Roman" w:hAnsi="Times New Roman"/>
          <w:b/>
          <w:bCs/>
          <w:i w:val="false"/>
          <w:iCs w:val="false"/>
          <w:sz w:val="22"/>
          <w:szCs w:val="22"/>
        </w:rPr>
        <w:t xml:space="preserve">DECISÃO</w:t>
      </w:r>
      <w:r>
        <w:rPr>
          <w:rFonts w:ascii="Times New Roman" w:cs="Times New Roman" w:eastAsia="Times New Roman" w:hAnsi="Times New Roman"/>
          <w:i w:val="false"/>
          <w:iCs w:val="false"/>
          <w:sz w:val="22"/>
          <w:szCs w:val="22"/>
        </w:rPr>
        <w:t xml:space="preserve">: Superior de Dia estadual ou só da Capital? Recomendação: acolher as 12 competências (valem para qualquer alcance) e deixar o caput (alcance e postos) para o CONDEG. O inciso X (imprensa) converge com o artigo de comunicação social já existente.</w:t>
      </w:r>
    </w:p>
    <w:p>
      <w:pPr>
        <w:spacing w:after="120" w:line="300"/>
        <w:jc w:val="both"/>
      </w:pPr>
      <w:r>
        <w:rPr>
          <w:rFonts w:ascii="Times New Roman" w:cs="Times New Roman" w:eastAsia="Times New Roman" w:hAnsi="Times New Roman"/>
          <w:b/>
          <w:bCs/>
          <w:i w:val="false"/>
          <w:iCs w:val="false"/>
          <w:sz w:val="22"/>
          <w:szCs w:val="22"/>
        </w:rPr>
        <w:t xml:space="preserve">Comandante de Socorro</w:t>
      </w:r>
      <w:r>
        <w:rPr>
          <w:rFonts w:ascii="Times New Roman" w:cs="Times New Roman" w:eastAsia="Times New Roman" w:hAnsi="Times New Roman"/>
          <w:i w:val="false"/>
          <w:iCs w:val="false"/>
          <w:sz w:val="22"/>
          <w:szCs w:val="22"/>
        </w:rPr>
        <w:t xml:space="preserve"> (2 artigos, 20 competências). Também "exclusivamente na Capital, no 1º GBM", de Aspirante a Capitão. Contradiz os Arts. 44 e 46 da minuta (serviço no quartel de cada OBM) e o Art. 43 (só subalternos e Aspirantes). </w:t>
      </w:r>
      <w:r>
        <w:rPr>
          <w:rFonts w:ascii="Times New Roman" w:cs="Times New Roman" w:eastAsia="Times New Roman" w:hAnsi="Times New Roman"/>
          <w:b/>
          <w:bCs/>
          <w:i w:val="false"/>
          <w:iCs w:val="false"/>
          <w:sz w:val="22"/>
          <w:szCs w:val="22"/>
        </w:rPr>
        <w:t xml:space="preserve">DECISÃO</w:t>
      </w:r>
      <w:r>
        <w:rPr>
          <w:rFonts w:ascii="Times New Roman" w:cs="Times New Roman" w:eastAsia="Times New Roman" w:hAnsi="Times New Roman"/>
          <w:i w:val="false"/>
          <w:iCs w:val="false"/>
          <w:sz w:val="22"/>
          <w:szCs w:val="22"/>
        </w:rPr>
        <w:t xml:space="preserve"> sobre postos; quanto ao alcance, recomendação de generalizar a redação para "em cada Organização Bombeiro Militar, no âmbito da respectiva Unidade", porque o serviço existe no interior. As 20 competências são boas e trazem novidades úteis: visitar militares hospitalizados (XVI), acompanhar militar detido ou conduzido perante autoridade policial (XVII — conferir com a Corregedoria a extensão a militares da reserva), acionar o Plano de Chamada (XIX).</w:t>
      </w:r>
    </w:p>
    <w:p>
      <w:pPr>
        <w:spacing w:after="120" w:line="300"/>
        <w:jc w:val="both"/>
      </w:pPr>
      <w:r>
        <w:rPr>
          <w:rFonts w:ascii="Times New Roman" w:cs="Times New Roman" w:eastAsia="Times New Roman" w:hAnsi="Times New Roman"/>
          <w:b/>
          <w:bCs/>
          <w:i w:val="false"/>
          <w:iCs w:val="false"/>
          <w:sz w:val="22"/>
          <w:szCs w:val="22"/>
        </w:rPr>
        <w:t xml:space="preserve">Oficial de Dia</w:t>
      </w:r>
      <w:r>
        <w:rPr>
          <w:rFonts w:ascii="Times New Roman" w:cs="Times New Roman" w:eastAsia="Times New Roman" w:hAnsi="Times New Roman"/>
          <w:i w:val="false"/>
          <w:iCs w:val="false"/>
          <w:sz w:val="22"/>
          <w:szCs w:val="22"/>
        </w:rPr>
        <w:t xml:space="preserve"> (2 artigos, 25 competências). Aqui a proposta muda o conceito: o Oficial de Dia passa a ser função interna do Quartel do Comando-Geral (segurança do aquartelamento, guarda, chaves, entrada e saída de pessoas e viaturas, prisões disciplinares, providências em crime militar), e não a função operacional coordenada pelo COB da minuta original. Observação importante: os artigos originais do Oficial de Dia (Arts. 36 a 42) já estão suprimidos na versão atual, então hoje a minuta está sem regramento dessa função — a proposta preenche o vazio. </w:t>
      </w:r>
      <w:r>
        <w:rPr>
          <w:rFonts w:ascii="Times New Roman" w:cs="Times New Roman" w:eastAsia="Times New Roman" w:hAnsi="Times New Roman"/>
          <w:b/>
          <w:bCs/>
          <w:i w:val="false"/>
          <w:iCs w:val="false"/>
          <w:sz w:val="22"/>
          <w:szCs w:val="22"/>
        </w:rPr>
        <w:t xml:space="preserve">DECISÃO</w:t>
      </w:r>
      <w:r>
        <w:rPr>
          <w:rFonts w:ascii="Times New Roman" w:cs="Times New Roman" w:eastAsia="Times New Roman" w:hAnsi="Times New Roman"/>
          <w:i w:val="false"/>
          <w:iCs w:val="false"/>
          <w:sz w:val="22"/>
          <w:szCs w:val="22"/>
        </w:rPr>
        <w:t xml:space="preserve">: adotar o conceito de Oficial de Dia como serviço interno de aquartelamento? Se sim, recomendação de generalizar para "no Quartel do Comando-Geral e nos quartéis das OBMs, conforme escala própria", pois o interior também tem serviço interno. Dois registros chegaram corrompidos (inciso X termina em "rviço;" e inciso XIII está truncado em "durante o se") — pedir ao autor o texto íntegro. Os incisos XXII a XXIV (prisões disciplinares, preservação de local de crime militar, flagrante) pedem conferência da Corregedoria quanto ao CPPM.</w:t>
      </w:r>
    </w:p>
    <w:p>
      <w:pPr>
        <w:spacing w:after="120" w:line="300"/>
        <w:jc w:val="both"/>
      </w:pPr>
      <w:r>
        <w:rPr>
          <w:rFonts w:ascii="Times New Roman" w:cs="Times New Roman" w:eastAsia="Times New Roman" w:hAnsi="Times New Roman"/>
          <w:b/>
          <w:bCs/>
          <w:i w:val="false"/>
          <w:iCs w:val="false"/>
          <w:sz w:val="22"/>
          <w:szCs w:val="22"/>
        </w:rPr>
        <w:t xml:space="preserve">Lacuna</w:t>
      </w:r>
      <w:r>
        <w:rPr>
          <w:rFonts w:ascii="Times New Roman" w:cs="Times New Roman" w:eastAsia="Times New Roman" w:hAnsi="Times New Roman"/>
          <w:i w:val="false"/>
          <w:iCs w:val="false"/>
          <w:sz w:val="22"/>
          <w:szCs w:val="22"/>
        </w:rPr>
        <w:t xml:space="preserve">: das 13 funções do Art. 26, o oficial redigiu 3. Faltam Comandante de Área, Adjunto ao Oficial de Dia, Comandante de Guarnição, Condutor e Operador de Viaturas, Auxiliares, Operador de Rádio, Comandante e Auxiliar da Guarda do Quartel, Socorristas e Permanência. Sugestão: o COB completa no mesmo padrão, aproveitando o RISD de Sergipe e o RISG do Exército, que já estão no Subsídio do portal lado a lado com cada artigo.</w:t>
      </w:r>
    </w:p>
    <w:p>
      <w:pPr>
        <w:spacing w:after="120" w:before="280"/>
      </w:pPr>
      <w:r>
        <w:rPr>
          <w:rFonts w:ascii="Times New Roman" w:cs="Times New Roman" w:eastAsia="Times New Roman" w:hAnsi="Times New Roman"/>
          <w:b/>
          <w:bCs/>
          <w:sz w:val="24"/>
          <w:szCs w:val="24"/>
        </w:rPr>
        <w:t xml:space="preserve">3. Revisão de texto incorporada à versão atual</w:t>
      </w:r>
    </w:p>
    <w:p>
      <w:pPr>
        <w:spacing w:after="120" w:line="300"/>
        <w:jc w:val="both"/>
      </w:pPr>
      <w:r>
        <w:rPr>
          <w:rFonts w:ascii="Times New Roman" w:cs="Times New Roman" w:eastAsia="Times New Roman" w:hAnsi="Times New Roman"/>
          <w:i w:val="false"/>
          <w:iCs w:val="false"/>
          <w:sz w:val="22"/>
          <w:szCs w:val="22"/>
        </w:rPr>
        <w:t xml:space="preserve">Além das sugestões da consulta, a versão atual da minuta recebeu a revisão interna de texto feita pela administração do portal (ago-set/2026), visível no Comparativo como "correção de texto" e "texto alterado": citação do art. 148 da Constituição Estadual no Art. 1º; "proteção e defesa civil" no Art. 3º, III; grafia "Comandante-Geral" em todo o documento; resíduos de extração da fonte retirados (títulos de seção colados ao fim de caputs); "GTA" substituído por "Grupamento de Operações Aéreas – GOA"; textos finais fechados no portal para o Superior de Dia (reporte, permuta, coordenação e regime pelo Subcomandante-Geral) e para a base legal dos serviços de Comandante de Socorro, Oficial de Dia e praças ("neste Regulamento de Serviço"); acidente com viatura (Art. 53: sem a cláusula de acordo formal entre as partes, sem a "ficha de acidentes", relato em Parte Especial); ciência ao Superior de Dia nas ocorrências com socorros de duas ou mais Unidades; reserva operacional nas ocorrências de grande vulto; apoio externo (Art. 61: SAMU e companhia de elevadores retirados, Capitania dos Portos "onde houver"); artigos duplicados suprimidos (permutas, casos omissos repetidos, permuta fora do mês); e o artigo dos casos omissos deslocado para o fim do capítulo.</w:t>
      </w:r>
    </w:p>
    <w:p>
      <w:pPr>
        <w:spacing w:after="120" w:line="300"/>
        <w:jc w:val="both"/>
      </w:pPr>
      <w:r>
        <w:rPr>
          <w:rFonts w:ascii="Times New Roman" w:cs="Times New Roman" w:eastAsia="Times New Roman" w:hAnsi="Times New Roman"/>
          <w:i w:val="false"/>
          <w:iCs w:val="false"/>
          <w:sz w:val="22"/>
          <w:szCs w:val="22"/>
        </w:rPr>
        <w:t xml:space="preserve">Dois pontos dessa revisão dependem de decisão do Comando: a supressão do artigo das permutas com 48 horas de antecedência e formulário próprio (duplicidade com o Art. 10) leva junto essa regra — se for mantida, redigir como parágrafo do Art. 10; e, no Art. 61, XI, quem aciona a aeronave do GOA e o protocolo para ocorrências no interior seguem sem redação. Continuam em aberto, sem texto a aplicar, a dispensa natalícia (Art. 30, sem previsão legal) e a rotina de atestados junto à Junta Militar de Saúde (Art. 32).</w:t>
      </w:r>
    </w:p>
    <w:p>
      <w:pPr>
        <w:spacing w:after="120" w:before="280"/>
      </w:pPr>
      <w:r>
        <w:rPr>
          <w:rFonts w:ascii="Times New Roman" w:cs="Times New Roman" w:eastAsia="Times New Roman" w:hAnsi="Times New Roman"/>
          <w:b/>
          <w:bCs/>
          <w:sz w:val="24"/>
          <w:szCs w:val="24"/>
        </w:rPr>
        <w:t xml:space="preserve">4. Convergência com a estrutura em Parte Geral e Parte Especial</w:t>
      </w:r>
    </w:p>
    <w:p>
      <w:pPr>
        <w:spacing w:after="120" w:line="300"/>
        <w:jc w:val="both"/>
      </w:pPr>
      <w:r>
        <w:rPr>
          <w:rFonts w:ascii="Times New Roman" w:cs="Times New Roman" w:eastAsia="Times New Roman" w:hAnsi="Times New Roman"/>
          <w:i w:val="false"/>
          <w:iCs w:val="false"/>
          <w:sz w:val="22"/>
          <w:szCs w:val="22"/>
        </w:rPr>
        <w:t xml:space="preserve">A estrutura em Parte Geral e Parte Especial e as sugestões dispositivo a dispositivo vêm do mesmo oficial, e se completam: a proposta de "uma seção por função, com subordinação, área e atribuições" é exatamente o que a Parte Especial da minuta reestruturada faz no Título I (Serviço Operacional), que já tem capítulos "Do Superior de Dia", "Do Oficial de Dia" e "Do Comandante de Socorro". Hoje esses capítulos só têm regime e escala; os artigos "Compete ao…" do Bloco 14 são o que falta neles. Posição de cada bloco na minuta reestruturada: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Bloco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Onde entra na versão reestruturada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 (competências do CBMRO)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Cap. I — Da finalidade, da abrangência e da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12 e 13 (objetivos e política)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Cap. II — com alcance ampliado aos dois serviços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 a 9 (COB, Adjunto e Seções)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Título I, Cap. I — Das funções do COB</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 e 11 (GBM e SGBM)</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Título I, Cap. I, mais artigos novos para Subcomandante, Auxiliares e B1 a B6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 — Superior de Dia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Título I, Cap. III</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 — Oficial de Dia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Título I, Cap. IV (se adotado como serviço interno, avaliar mover para junto do Cap. VII, rotina das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 — Comandante de Socorro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Título I, Cap. V</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Funções faltantes do Art. 26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Título I, Cap. VI — Das demais funções de serviço nas unidades</w:t>
            </w:r>
          </w:p>
        </w:tc>
      </w:tr>
    </w:tbl>
    <w:p>
      <w:pPr>
        <w:spacing w:after="120"/>
      </w:pPr>
    </w:p>
    <w:p>
      <w:pPr>
        <w:spacing w:after="120" w:line="300"/>
        <w:jc w:val="both"/>
      </w:pPr>
      <w:r>
        <w:rPr>
          <w:rFonts w:ascii="Times New Roman" w:cs="Times New Roman" w:eastAsia="Times New Roman" w:hAnsi="Times New Roman"/>
          <w:i w:val="false"/>
          <w:iCs w:val="false"/>
          <w:sz w:val="22"/>
          <w:szCs w:val="22"/>
        </w:rPr>
        <w:t xml:space="preserve">Nada da consulta toca o Título II (Serviço Técnico) nem os capítulos de viaturas, material e comunicação social da Parte Geral.</w:t>
      </w:r>
    </w:p>
    <w:p>
      <w:pPr>
        <w:spacing w:after="120" w:before="280"/>
      </w:pPr>
      <w:r>
        <w:rPr>
          <w:rFonts w:ascii="Times New Roman" w:cs="Times New Roman" w:eastAsia="Times New Roman" w:hAnsi="Times New Roman"/>
          <w:b/>
          <w:bCs/>
          <w:sz w:val="24"/>
          <w:szCs w:val="24"/>
        </w:rPr>
        <w:t xml:space="preserve">5. Proposta de aplicação, em ordem</w:t>
      </w:r>
    </w:p>
    <w:p>
      <w:pPr>
        <w:spacing w:after="60" w:line="300"/>
        <w:ind w:left="360" w:hanging="300"/>
        <w:jc w:val="both"/>
      </w:pPr>
      <w:r>
        <w:rPr>
          <w:rFonts w:ascii="Times New Roman" w:cs="Times New Roman" w:eastAsia="Times New Roman" w:hAnsi="Times New Roman"/>
          <w:i w:val="false"/>
          <w:iCs w:val="false"/>
          <w:sz w:val="22"/>
          <w:szCs w:val="22"/>
        </w:rPr>
        <w:t xml:space="preserve">1. </w:t>
      </w:r>
      <w:r>
        <w:rPr>
          <w:rFonts w:ascii="Times New Roman" w:cs="Times New Roman" w:eastAsia="Times New Roman" w:hAnsi="Times New Roman"/>
          <w:b/>
          <w:bCs/>
          <w:i w:val="false"/>
          <w:iCs w:val="false"/>
          <w:sz w:val="22"/>
          <w:szCs w:val="22"/>
        </w:rPr>
        <w:t xml:space="preserve">Decisões a submeter ao CONDEG (ou ao Comando)</w:t>
      </w:r>
      <w:r>
        <w:rPr>
          <w:rFonts w:ascii="Times New Roman" w:cs="Times New Roman" w:eastAsia="Times New Roman" w:hAnsi="Times New Roman"/>
          <w:i w:val="false"/>
          <w:iCs w:val="false"/>
          <w:sz w:val="22"/>
          <w:szCs w:val="22"/>
        </w:rPr>
        <w:t xml:space="preserve"> antes de qualquer redação:</w:t>
      </w:r>
    </w:p>
    <w:p>
      <w:pPr>
        <w:spacing w:after="60" w:line="300"/>
        <w:ind w:left="720" w:hanging="24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Superior de Dia: alcance estadual (minuta atual) ou só Capital (proposta)? Postos que concorrem?</w:t>
      </w:r>
    </w:p>
    <w:p>
      <w:pPr>
        <w:spacing w:after="60" w:line="300"/>
        <w:ind w:left="720" w:hanging="24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Comandante de Socorro: em cada OBM (minuta) ou só 1º GBM (proposta)? Incluir Capitães?</w:t>
      </w:r>
    </w:p>
    <w:p>
      <w:pPr>
        <w:spacing w:after="60" w:line="300"/>
        <w:ind w:left="720" w:hanging="24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Oficial de Dia: função interna de aquartelamento (proposta) ou função operacional (minuta original, hoje suprimida)? Só no QCG ou em todos os quartéis?</w:t>
      </w:r>
    </w:p>
    <w:p>
      <w:pPr>
        <w:spacing w:after="60" w:line="300"/>
        <w:ind w:left="720" w:hanging="24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Competências do CBMRO: transcrever o art. 2º da LOB (recomendado) ou só remeter?</w:t>
      </w:r>
    </w:p>
    <w:p>
      <w:pPr>
        <w:spacing w:after="60" w:line="300"/>
        <w:ind w:left="720" w:hanging="24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Adotar a estrutura em Parte Geral e Parte Especial (sugestão do Cel. Luiz Eduardo) como base da 2ª versão.</w:t>
      </w:r>
    </w:p>
    <w:p>
      <w:pPr>
        <w:spacing w:after="60" w:line="300"/>
        <w:ind w:left="360" w:hanging="300"/>
        <w:jc w:val="both"/>
      </w:pPr>
      <w:r>
        <w:rPr>
          <w:rFonts w:ascii="Times New Roman" w:cs="Times New Roman" w:eastAsia="Times New Roman" w:hAnsi="Times New Roman"/>
          <w:i w:val="false"/>
          <w:iCs w:val="false"/>
          <w:sz w:val="22"/>
          <w:szCs w:val="22"/>
        </w:rPr>
        <w:t xml:space="preserve">2. </w:t>
      </w:r>
      <w:r>
        <w:rPr>
          <w:rFonts w:ascii="Times New Roman" w:cs="Times New Roman" w:eastAsia="Times New Roman" w:hAnsi="Times New Roman"/>
          <w:b/>
          <w:bCs/>
          <w:i w:val="false"/>
          <w:iCs w:val="false"/>
          <w:sz w:val="22"/>
          <w:szCs w:val="22"/>
        </w:rPr>
        <w:t xml:space="preserve">Aplicação direta</w:t>
      </w:r>
      <w:r>
        <w:rPr>
          <w:rFonts w:ascii="Times New Roman" w:cs="Times New Roman" w:eastAsia="Times New Roman" w:hAnsi="Times New Roman"/>
          <w:i w:val="false"/>
          <w:iCs w:val="false"/>
          <w:sz w:val="22"/>
          <w:szCs w:val="22"/>
        </w:rPr>
        <w:t xml:space="preserve"> (sem decisão pendente, só forma): Blocos 1, 3, 5, 6, 7, 8, 12 e 13 — substituir os artigos correspondentes em </w:t>
      </w:r>
      <w:r>
        <w:rPr>
          <w:rFonts w:ascii="Times New Roman" w:cs="Times New Roman" w:eastAsia="Times New Roman" w:hAnsi="Times New Roman"/>
          <w:i/>
          <w:iCs/>
          <w:sz w:val="22"/>
          <w:szCs w:val="22"/>
        </w:rPr>
        <w:t xml:space="preserve">ARTIGOS_PROPRIOS</w:t>
      </w:r>
      <w:r>
        <w:rPr>
          <w:rFonts w:ascii="Times New Roman" w:cs="Times New Roman" w:eastAsia="Times New Roman" w:hAnsi="Times New Roman"/>
          <w:i w:val="false"/>
          <w:iCs w:val="false"/>
          <w:sz w:val="22"/>
          <w:szCs w:val="22"/>
        </w:rPr>
        <w:t xml:space="preserve"> de </w:t>
      </w:r>
      <w:r>
        <w:rPr>
          <w:rFonts w:ascii="Times New Roman" w:cs="Times New Roman" w:eastAsia="Times New Roman" w:hAnsi="Times New Roman"/>
          <w:i/>
          <w:iCs/>
          <w:sz w:val="22"/>
          <w:szCs w:val="22"/>
        </w:rPr>
        <w:t xml:space="preserve">scripts/regulamento_reescrita.py</w:t>
      </w:r>
      <w:r>
        <w:rPr>
          <w:rFonts w:ascii="Times New Roman" w:cs="Times New Roman" w:eastAsia="Times New Roman" w:hAnsi="Times New Roman"/>
          <w:i w:val="false"/>
          <w:iCs w:val="false"/>
          <w:sz w:val="22"/>
          <w:szCs w:val="22"/>
        </w:rPr>
        <w:t xml:space="preserve"> e regerar a estrutura.</w:t>
      </w:r>
    </w:p>
    <w:p>
      <w:pPr>
        <w:spacing w:after="60" w:line="300"/>
        <w:ind w:left="360" w:hanging="300"/>
        <w:jc w:val="both"/>
      </w:pPr>
      <w:r>
        <w:rPr>
          <w:rFonts w:ascii="Times New Roman" w:cs="Times New Roman" w:eastAsia="Times New Roman" w:hAnsi="Times New Roman"/>
          <w:i w:val="false"/>
          <w:iCs w:val="false"/>
          <w:sz w:val="22"/>
          <w:szCs w:val="22"/>
        </w:rPr>
        <w:t xml:space="preserve">3. </w:t>
      </w:r>
      <w:r>
        <w:rPr>
          <w:rFonts w:ascii="Times New Roman" w:cs="Times New Roman" w:eastAsia="Times New Roman" w:hAnsi="Times New Roman"/>
          <w:b/>
          <w:bCs/>
          <w:i w:val="false"/>
          <w:iCs w:val="false"/>
          <w:sz w:val="22"/>
          <w:szCs w:val="22"/>
        </w:rPr>
        <w:t xml:space="preserve">Aplicação após conferência objetiva</w:t>
      </w:r>
      <w:r>
        <w:rPr>
          <w:rFonts w:ascii="Times New Roman" w:cs="Times New Roman" w:eastAsia="Times New Roman" w:hAnsi="Times New Roman"/>
          <w:i w:val="false"/>
          <w:iCs w:val="false"/>
          <w:sz w:val="22"/>
          <w:szCs w:val="22"/>
        </w:rPr>
        <w:t xml:space="preserve">: Blocos 2 e 4 (Decreto nº 8.134/1997), Bloco 9 (rotina de armamento na ARI), Bloco 14 — Comandante de Socorro inciso XVII e Oficial de Dia incisos XXII a XXIV (Corregedoria), e os dois incisos corrompidos (pedir ao autor).</w:t>
      </w:r>
    </w:p>
    <w:p>
      <w:pPr>
        <w:spacing w:after="60" w:line="300"/>
        <w:ind w:left="360" w:hanging="300"/>
        <w:jc w:val="both"/>
      </w:pPr>
      <w:r>
        <w:rPr>
          <w:rFonts w:ascii="Times New Roman" w:cs="Times New Roman" w:eastAsia="Times New Roman" w:hAnsi="Times New Roman"/>
          <w:i w:val="false"/>
          <w:iCs w:val="false"/>
          <w:sz w:val="22"/>
          <w:szCs w:val="22"/>
        </w:rPr>
        <w:t xml:space="preserve">4. </w:t>
      </w:r>
      <w:r>
        <w:rPr>
          <w:rFonts w:ascii="Times New Roman" w:cs="Times New Roman" w:eastAsia="Times New Roman" w:hAnsi="Times New Roman"/>
          <w:b/>
          <w:bCs/>
          <w:i w:val="false"/>
          <w:iCs w:val="false"/>
          <w:sz w:val="22"/>
          <w:szCs w:val="22"/>
        </w:rPr>
        <w:t xml:space="preserve">Redação nova</w:t>
      </w:r>
      <w:r>
        <w:rPr>
          <w:rFonts w:ascii="Times New Roman" w:cs="Times New Roman" w:eastAsia="Times New Roman" w:hAnsi="Times New Roman"/>
          <w:i w:val="false"/>
          <w:iCs w:val="false"/>
          <w:sz w:val="22"/>
          <w:szCs w:val="22"/>
        </w:rPr>
        <w:t xml:space="preserve">: artigos do Subcomandante, Auxiliares e B1 a B6 do GBM; Subcomandante e Auxiliares do SGBM; as 10 funções do Art. 26 que ficaram sem seção. Encarregar o COB, com o Subsídio do portal como base.</w:t>
      </w:r>
    </w:p>
    <w:p>
      <w:pPr>
        <w:spacing w:after="60" w:line="300"/>
        <w:ind w:left="360" w:hanging="300"/>
        <w:jc w:val="both"/>
      </w:pPr>
      <w:r>
        <w:rPr>
          <w:rFonts w:ascii="Times New Roman" w:cs="Times New Roman" w:eastAsia="Times New Roman" w:hAnsi="Times New Roman"/>
          <w:i w:val="false"/>
          <w:iCs w:val="false"/>
          <w:sz w:val="22"/>
          <w:szCs w:val="22"/>
        </w:rPr>
        <w:t xml:space="preserve">5. </w:t>
      </w:r>
      <w:r>
        <w:rPr>
          <w:rFonts w:ascii="Times New Roman" w:cs="Times New Roman" w:eastAsia="Times New Roman" w:hAnsi="Times New Roman"/>
          <w:b/>
          <w:bCs/>
          <w:i w:val="false"/>
          <w:iCs w:val="false"/>
          <w:sz w:val="22"/>
          <w:szCs w:val="22"/>
        </w:rPr>
        <w:t xml:space="preserve">Saneamento dos textos finais no portal</w:t>
      </w:r>
      <w:r>
        <w:rPr>
          <w:rFonts w:ascii="Times New Roman" w:cs="Times New Roman" w:eastAsia="Times New Roman" w:hAnsi="Times New Roman"/>
          <w:i w:val="false"/>
          <w:iCs w:val="false"/>
          <w:sz w:val="22"/>
          <w:szCs w:val="22"/>
        </w:rPr>
        <w:t xml:space="preserve">: preencher ou reclassificar os 44 fechamentos vazios (as supressões "Excluir" já estão aplicadas na versão atual).</w:t>
      </w:r>
    </w:p>
    <w:p>
      <w:pPr>
        <w:spacing w:after="60" w:line="300"/>
        <w:ind w:left="360" w:hanging="300"/>
        <w:jc w:val="both"/>
      </w:pPr>
      <w:r>
        <w:rPr>
          <w:rFonts w:ascii="Times New Roman" w:cs="Times New Roman" w:eastAsia="Times New Roman" w:hAnsi="Times New Roman"/>
          <w:i w:val="false"/>
          <w:iCs w:val="false"/>
          <w:sz w:val="22"/>
          <w:szCs w:val="22"/>
        </w:rPr>
        <w:t xml:space="preserve">6. </w:t>
      </w:r>
      <w:r>
        <w:rPr>
          <w:rFonts w:ascii="Times New Roman" w:cs="Times New Roman" w:eastAsia="Times New Roman" w:hAnsi="Times New Roman"/>
          <w:b/>
          <w:bCs/>
          <w:i w:val="false"/>
          <w:iCs w:val="false"/>
          <w:sz w:val="22"/>
          <w:szCs w:val="22"/>
        </w:rPr>
        <w:t xml:space="preserve">Serviço técnico</w:t>
      </w:r>
      <w:r>
        <w:rPr>
          <w:rFonts w:ascii="Times New Roman" w:cs="Times New Roman" w:eastAsia="Times New Roman" w:hAnsi="Times New Roman"/>
          <w:i w:val="false"/>
          <w:iCs w:val="false"/>
          <w:sz w:val="22"/>
          <w:szCs w:val="22"/>
        </w:rPr>
        <w:t xml:space="preserve">: reabrir prazo curto e dirigido à CAT (cinco integrantes já cadastrados), com pedido explícito de leitura do Título II; sem isso a 2ª versão sai sem validação da área.</w:t>
      </w:r>
    </w:p>
    <w:p>
      <w:pPr>
        <w:spacing w:after="60" w:line="300"/>
        <w:ind w:left="360" w:hanging="300"/>
        <w:jc w:val="both"/>
      </w:pPr>
      <w:r>
        <w:rPr>
          <w:rFonts w:ascii="Times New Roman" w:cs="Times New Roman" w:eastAsia="Times New Roman" w:hAnsi="Times New Roman"/>
          <w:i w:val="false"/>
          <w:iCs w:val="false"/>
          <w:sz w:val="22"/>
          <w:szCs w:val="22"/>
        </w:rPr>
        <w:t xml:space="preserve">7. </w:t>
      </w:r>
      <w:r>
        <w:rPr>
          <w:rFonts w:ascii="Times New Roman" w:cs="Times New Roman" w:eastAsia="Times New Roman" w:hAnsi="Times New Roman"/>
          <w:b/>
          <w:bCs/>
          <w:i w:val="false"/>
          <w:iCs w:val="false"/>
          <w:sz w:val="22"/>
          <w:szCs w:val="22"/>
        </w:rPr>
        <w:t xml:space="preserve">Higiene de cadastro</w:t>
      </w:r>
      <w:r>
        <w:rPr>
          <w:rFonts w:ascii="Times New Roman" w:cs="Times New Roman" w:eastAsia="Times New Roman" w:hAnsi="Times New Roman"/>
          <w:i w:val="false"/>
          <w:iCs w:val="false"/>
          <w:sz w:val="22"/>
          <w:szCs w:val="22"/>
        </w:rPr>
        <w:t xml:space="preserve">: excluir a conta "Teste Participante"; unificar as duas contas do Cel. Luiz Eduardo; aprovar ou recusar o cadastro pendente do 2º GBM.</w:t>
      </w:r>
    </w:p>
    <w:p>
      <w:pPr>
        <w:spacing w:after="120" w:before="280"/>
      </w:pPr>
      <w:r>
        <w:rPr>
          <w:rFonts w:ascii="Times New Roman" w:cs="Times New Roman" w:eastAsia="Times New Roman" w:hAnsi="Times New Roman"/>
          <w:b/>
          <w:bCs/>
          <w:sz w:val="24"/>
          <w:szCs w:val="24"/>
        </w:rPr>
        <w:t xml:space="preserve">6. Reconhecimento</w:t>
      </w:r>
    </w:p>
    <w:p>
      <w:pPr>
        <w:spacing w:after="120" w:line="300"/>
        <w:jc w:val="both"/>
      </w:pPr>
      <w:r>
        <w:rPr>
          <w:rFonts w:ascii="Times New Roman" w:cs="Times New Roman" w:eastAsia="Times New Roman" w:hAnsi="Times New Roman"/>
          <w:i w:val="false"/>
          <w:iCs w:val="false"/>
          <w:sz w:val="22"/>
          <w:szCs w:val="22"/>
        </w:rPr>
        <w:t xml:space="preserve">Registre-se, para o SEI, que a contribuição do Cel. BM Luiz Eduardo Oliveira Firmino equivale à redação de um capítulo inteiro de atribuições (cerca de 180 incisos novos, conferidos contra a Lei nº 2.204/2009 nos pontos em que transcreve a lei), que ela dialoga diretamente com a pendência da cadeia de comando dos Grupamentos já identificada pela equipe, e que a estrutura em Parte Geral e Parte Especial, sugerida pelo mesmo oficial, é o encaixe natural desses artigos.</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Análise das interações e proposta de aplicação — consulta da Minuta do Regulamento de Serviço · CBMRO · pág. </w:t>
    </w:r>
    <w:r>
      <w:rPr>
        <w:rFonts w:ascii="Times New Roman" w:cs="Times New Roman" w:eastAsia="Times New Roman" w:hAnsi="Times New Roman"/>
        <w:i/>
        <w:i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74e558ef0a53ac412ef78088696bb17b0abd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2026-09-14T18:36:40.044Z</dcterms:created>
  <dcterms:modified xsi:type="dcterms:W3CDTF">2026-09-14T18:36:40.044Z</dcterms:modified>
</cp:coreProperties>
</file>

<file path=docProps/custom.xml><?xml version="1.0" encoding="utf-8"?>
<Properties xmlns="http://schemas.openxmlformats.org/officeDocument/2006/custom-properties" xmlns:vt="http://schemas.openxmlformats.org/officeDocument/2006/docPropsVTypes"/>
</file>