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estrutura em Parte Geral e Parte Especial</w:t>
      </w:r>
    </w:p>
    <w:p>
      <w:pPr>
        <w:spacing w:after="0" w:before="0"/>
        <w:jc w:val="center"/>
      </w:pPr>
      <w:r>
        <w:rPr>
          <w:rFonts w:ascii="Times New Roman" w:cs="Times New Roman" w:eastAsia="Times New Roman" w:hAnsi="Times New Roman"/>
          <w:b w:val="false"/>
          <w:bCs w:val="false"/>
          <w:i/>
          <w:iCs/>
          <w:sz w:val="22"/>
          <w:szCs w:val="22"/>
        </w:rPr>
        <w:t xml:space="preserve">Proposta de reestruturação (sugestão do Cel. Luiz Eduardo) · mesmos artigos da versão em consulta, reordenados</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Esta versão reorganiza, sem alterar a redação, os artigos da minuta submetida à consulta: a Parte I reúne as normas comuns ao serviço operacional e ao serviço técnico; a Parte II traz os capítulos específicos de cada serviço (Título I — Serviço Operacional; Título II — Serviço Técnico); a Parte III, as disposições finais. Os ajustes de redação que a nova ordem passa a exigir estão no Anexo II e dependem de deliberação. O Anexo I traz a correspondência entre a numeração da versão em consulta e a desta proposta.</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w:t>
      </w:r>
    </w:p>
    <w:p>
      <w:pPr>
        <w:spacing w:after="60" w:line="360"/>
        <w:ind w:left="708" w:hanging="340"/>
        <w:jc w:val="both"/>
      </w:pPr>
      <w:r>
        <w:rPr>
          <w:rFonts w:ascii="Times New Roman" w:cs="Times New Roman" w:eastAsia="Times New Roman" w:hAnsi="Times New Roman"/>
          <w:sz w:val="24"/>
          <w:szCs w:val="24"/>
        </w:rPr>
        <w:t xml:space="preserve">II - executar serviços de proteção, busca e salvamento;</w:t>
      </w:r>
    </w:p>
    <w:p>
      <w:pPr>
        <w:spacing w:after="60" w:line="360"/>
        <w:ind w:left="708" w:hanging="340"/>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Proteção e Defesa Civil</w:t>
      </w:r>
    </w:p>
    <w:p>
      <w:pPr>
        <w:spacing w:after="60" w:line="360"/>
        <w:ind w:left="708" w:hanging="340"/>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60" w:line="360"/>
        <w:ind w:left="708" w:hanging="340"/>
        <w:jc w:val="both"/>
      </w:pPr>
      <w:r>
        <w:rPr>
          <w:rFonts w:ascii="Times New Roman" w:cs="Times New Roman" w:eastAsia="Times New Roman" w:hAnsi="Times New Roman"/>
          <w:sz w:val="24"/>
          <w:szCs w:val="24"/>
        </w:rPr>
        <w:t xml:space="preserve">V - realizar socorros de urgência e emergência;</w:t>
      </w:r>
    </w:p>
    <w:p>
      <w:pPr>
        <w:spacing w:after="60" w:line="360"/>
        <w:ind w:left="708" w:hanging="340"/>
        <w:jc w:val="both"/>
      </w:pPr>
      <w:r>
        <w:rPr>
          <w:rFonts w:ascii="Times New Roman" w:cs="Times New Roman" w:eastAsia="Times New Roman" w:hAnsi="Times New Roman"/>
          <w:sz w:val="24"/>
          <w:szCs w:val="24"/>
        </w:rPr>
        <w:t xml:space="preserve">VI - executar perícias de incêndios, relacionadas com sua competência;</w:t>
      </w:r>
    </w:p>
    <w:p>
      <w:pPr>
        <w:spacing w:after="60" w:line="360"/>
        <w:ind w:left="708" w:hanging="340"/>
        <w:jc w:val="both"/>
      </w:pPr>
      <w:r>
        <w:rPr>
          <w:rFonts w:ascii="Times New Roman" w:cs="Times New Roman" w:eastAsia="Times New Roman" w:hAnsi="Times New Roman"/>
          <w:sz w:val="24"/>
          <w:szCs w:val="24"/>
        </w:rPr>
        <w:t xml:space="preserve">VII - realizar pesquisas científicas em seu campo de ação;</w:t>
      </w:r>
    </w:p>
    <w:p>
      <w:pPr>
        <w:spacing w:after="60" w:line="360"/>
        <w:ind w:left="708" w:hanging="340"/>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60" w:line="360"/>
        <w:ind w:left="708" w:hanging="340"/>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60" w:line="360"/>
        <w:ind w:left="708" w:hanging="340"/>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60" w:line="360"/>
        <w:ind w:left="708" w:hanging="340"/>
        <w:jc w:val="both"/>
      </w:pPr>
      <w:r>
        <w:rPr>
          <w:rFonts w:ascii="Times New Roman" w:cs="Times New Roman" w:eastAsia="Times New Roman" w:hAnsi="Times New Roman"/>
          <w:sz w:val="24"/>
          <w:szCs w:val="24"/>
        </w:rPr>
        <w:t xml:space="preserve">XI - desempenhar outras atividades previstas em lei.</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E DA POLÍTICA DO SERVIÇO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º 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60" w:line="360"/>
        <w:ind w:left="708" w:hanging="340"/>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60" w:line="360"/>
        <w:ind w:left="708" w:hanging="340"/>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60" w:line="360"/>
        <w:ind w:left="708" w:hanging="340"/>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60" w:line="360"/>
        <w:ind w:left="708" w:hanging="340"/>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60" w:line="360"/>
        <w:ind w:left="708" w:hanging="340"/>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60" w:line="360"/>
        <w:ind w:left="708" w:hanging="340"/>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60" w:line="360"/>
        <w:ind w:left="708" w:hanging="340"/>
        <w:jc w:val="both"/>
      </w:pPr>
      <w:r>
        <w:rPr>
          <w:rFonts w:ascii="Times New Roman" w:cs="Times New Roman" w:eastAsia="Times New Roman" w:hAnsi="Times New Roman"/>
          <w:sz w:val="24"/>
          <w:szCs w:val="24"/>
        </w:rPr>
        <w:t xml:space="preserve">IV - reduzir o tempo nos atendimentos e melhorar a eficiência dos socorros;</w:t>
      </w:r>
    </w:p>
    <w:p>
      <w:pPr>
        <w:spacing w:after="60" w:line="360"/>
        <w:ind w:left="708" w:hanging="340"/>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60" w:line="360"/>
        <w:ind w:left="708" w:hanging="340"/>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60" w:line="360"/>
        <w:ind w:left="708" w:hanging="340"/>
        <w:jc w:val="both"/>
      </w:pPr>
      <w:r>
        <w:rPr>
          <w:rFonts w:ascii="Times New Roman" w:cs="Times New Roman" w:eastAsia="Times New Roman" w:hAnsi="Times New Roman"/>
          <w:sz w:val="24"/>
          <w:szCs w:val="24"/>
        </w:rPr>
        <w:t xml:space="preserve">VII - manter a reserva operacional em condições de pronto emprego; e</w:t>
      </w:r>
    </w:p>
    <w:p>
      <w:pPr>
        <w:spacing w:after="60" w:line="360"/>
        <w:ind w:left="708" w:hanging="340"/>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60" w:line="360"/>
        <w:ind w:left="1134" w:hanging="0"/>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As permutas de serviços fora do mês devem ser solicitadas com antecedência e devidamente motivadas para análise do comandante da OBM. durante Ocorrências</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60" w:line="360"/>
        <w:ind w:left="708" w:hanging="340"/>
        <w:jc w:val="both"/>
      </w:pPr>
      <w:r>
        <w:rPr>
          <w:rFonts w:ascii="Times New Roman" w:cs="Times New Roman" w:eastAsia="Times New Roman" w:hAnsi="Times New Roman"/>
          <w:sz w:val="24"/>
          <w:szCs w:val="24"/>
        </w:rPr>
        <w:t xml:space="preserve">V - preencher a ficha de acidentes;</w:t>
      </w:r>
    </w:p>
    <w:p>
      <w:pPr>
        <w:spacing w:after="60" w:line="360"/>
        <w:ind w:left="708" w:hanging="340"/>
        <w:jc w:val="both"/>
      </w:pPr>
      <w:r>
        <w:rPr>
          <w:rFonts w:ascii="Times New Roman" w:cs="Times New Roman" w:eastAsia="Times New Roman" w:hAnsi="Times New Roman"/>
          <w:sz w:val="24"/>
          <w:szCs w:val="24"/>
        </w:rPr>
        <w:t xml:space="preserve">VI - arrolar testemunhas;</w:t>
      </w:r>
    </w:p>
    <w:p>
      <w:pPr>
        <w:spacing w:after="60" w:line="360"/>
        <w:ind w:left="708" w:hanging="340"/>
        <w:jc w:val="both"/>
      </w:pPr>
      <w:r>
        <w:rPr>
          <w:rFonts w:ascii="Times New Roman" w:cs="Times New Roman" w:eastAsia="Times New Roman" w:hAnsi="Times New Roman"/>
          <w:sz w:val="24"/>
          <w:szCs w:val="24"/>
        </w:rPr>
        <w:t xml:space="preserve">VII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VIII - relatar os fatos, através de um relatório de detalhado;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60" w:line="360"/>
        <w:ind w:left="708" w:hanging="340"/>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60" w:line="360"/>
        <w:ind w:left="708" w:hanging="340"/>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60" w:line="360"/>
        <w:ind w:left="708" w:hanging="340"/>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60" w:line="360"/>
        <w:ind w:left="708" w:hanging="340"/>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60" w:line="360"/>
        <w:ind w:left="708" w:hanging="340"/>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w:t>
      </w:r>
    </w:p>
    <w:p>
      <w:pPr>
        <w:spacing w:after="60" w:line="360"/>
        <w:ind w:left="708" w:hanging="340"/>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60" w:line="360"/>
        <w:ind w:left="708" w:hanging="340"/>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w:t>
      </w:r>
    </w:p>
    <w:p>
      <w:pPr>
        <w:spacing w:after="60" w:line="360"/>
        <w:ind w:left="708" w:hanging="340"/>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60" w:line="360"/>
        <w:ind w:left="708" w:hanging="340"/>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w:t>
      </w:r>
    </w:p>
    <w:p>
      <w:pPr>
        <w:spacing w:after="60" w:line="360"/>
        <w:ind w:left="708" w:hanging="340"/>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60" w:line="360"/>
        <w:ind w:left="708" w:hanging="340"/>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60" w:line="360"/>
        <w:ind w:left="708" w:hanging="340"/>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60" w:line="360"/>
        <w:ind w:left="708" w:hanging="340"/>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º 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comandante de Área;</w:t>
      </w:r>
    </w:p>
    <w:p>
      <w:pPr>
        <w:spacing w:after="60" w:line="360"/>
        <w:ind w:left="708" w:hanging="340"/>
        <w:jc w:val="both"/>
      </w:pPr>
      <w:r>
        <w:rPr>
          <w:rFonts w:ascii="Times New Roman" w:cs="Times New Roman" w:eastAsia="Times New Roman" w:hAnsi="Times New Roman"/>
          <w:sz w:val="24"/>
          <w:szCs w:val="24"/>
        </w:rPr>
        <w:t xml:space="preserve">III - comandante de Socorro;</w:t>
      </w:r>
    </w:p>
    <w:p>
      <w:pPr>
        <w:spacing w:after="60" w:line="360"/>
        <w:ind w:left="708" w:hanging="340"/>
        <w:jc w:val="both"/>
      </w:pPr>
      <w:r>
        <w:rPr>
          <w:rFonts w:ascii="Times New Roman" w:cs="Times New Roman" w:eastAsia="Times New Roman" w:hAnsi="Times New Roman"/>
          <w:sz w:val="24"/>
          <w:szCs w:val="24"/>
        </w:rPr>
        <w:t xml:space="preserve">IV - oficial de dia;</w:t>
      </w:r>
    </w:p>
    <w:p>
      <w:pPr>
        <w:spacing w:after="60" w:line="360"/>
        <w:ind w:left="708" w:hanging="340"/>
        <w:jc w:val="both"/>
      </w:pPr>
      <w:r>
        <w:rPr>
          <w:rFonts w:ascii="Times New Roman" w:cs="Times New Roman" w:eastAsia="Times New Roman" w:hAnsi="Times New Roman"/>
          <w:sz w:val="24"/>
          <w:szCs w:val="24"/>
        </w:rPr>
        <w:t xml:space="preserve">V - adjunto ao Oficial de dia;</w:t>
      </w:r>
    </w:p>
    <w:p>
      <w:pPr>
        <w:spacing w:after="60" w:line="360"/>
        <w:ind w:left="708" w:hanging="340"/>
        <w:jc w:val="both"/>
      </w:pPr>
      <w:r>
        <w:rPr>
          <w:rFonts w:ascii="Times New Roman" w:cs="Times New Roman" w:eastAsia="Times New Roman" w:hAnsi="Times New Roman"/>
          <w:sz w:val="24"/>
          <w:szCs w:val="24"/>
        </w:rPr>
        <w:t xml:space="preserve">VI - comandante de Guarnição;</w:t>
      </w:r>
    </w:p>
    <w:p>
      <w:pPr>
        <w:spacing w:after="60" w:line="360"/>
        <w:ind w:left="708" w:hanging="340"/>
        <w:jc w:val="both"/>
      </w:pPr>
      <w:r>
        <w:rPr>
          <w:rFonts w:ascii="Times New Roman" w:cs="Times New Roman" w:eastAsia="Times New Roman" w:hAnsi="Times New Roman"/>
          <w:sz w:val="24"/>
          <w:szCs w:val="24"/>
        </w:rPr>
        <w:t xml:space="preserve">VII - condutor e Operador de Viaturas;</w:t>
      </w:r>
    </w:p>
    <w:p>
      <w:pPr>
        <w:spacing w:after="60" w:line="360"/>
        <w:ind w:left="708" w:hanging="340"/>
        <w:jc w:val="both"/>
      </w:pPr>
      <w:r>
        <w:rPr>
          <w:rFonts w:ascii="Times New Roman" w:cs="Times New Roman" w:eastAsia="Times New Roman" w:hAnsi="Times New Roman"/>
          <w:sz w:val="24"/>
          <w:szCs w:val="24"/>
        </w:rPr>
        <w:t xml:space="preserve">VIII - auxiliares do Comandante da Guarnição;</w:t>
      </w:r>
    </w:p>
    <w:p>
      <w:pPr>
        <w:spacing w:after="60" w:line="360"/>
        <w:ind w:left="708" w:hanging="340"/>
        <w:jc w:val="both"/>
      </w:pPr>
      <w:r>
        <w:rPr>
          <w:rFonts w:ascii="Times New Roman" w:cs="Times New Roman" w:eastAsia="Times New Roman" w:hAnsi="Times New Roman"/>
          <w:sz w:val="24"/>
          <w:szCs w:val="24"/>
        </w:rPr>
        <w:t xml:space="preserve">IX - operador de Rádio;</w:t>
      </w:r>
    </w:p>
    <w:p>
      <w:pPr>
        <w:spacing w:after="60" w:line="360"/>
        <w:ind w:left="708" w:hanging="340"/>
        <w:jc w:val="both"/>
      </w:pPr>
      <w:r>
        <w:rPr>
          <w:rFonts w:ascii="Times New Roman" w:cs="Times New Roman" w:eastAsia="Times New Roman" w:hAnsi="Times New Roman"/>
          <w:sz w:val="24"/>
          <w:szCs w:val="24"/>
        </w:rPr>
        <w:t xml:space="preserve">X - comandante de Guarda de Quartel;</w:t>
      </w:r>
    </w:p>
    <w:p>
      <w:pPr>
        <w:spacing w:after="60" w:line="360"/>
        <w:ind w:left="708" w:hanging="340"/>
        <w:jc w:val="both"/>
      </w:pPr>
      <w:r>
        <w:rPr>
          <w:rFonts w:ascii="Times New Roman" w:cs="Times New Roman" w:eastAsia="Times New Roman" w:hAnsi="Times New Roman"/>
          <w:sz w:val="24"/>
          <w:szCs w:val="24"/>
        </w:rPr>
        <w:t xml:space="preserve">XI - auxiliar da Guarda de OBM;</w:t>
      </w:r>
    </w:p>
    <w:p>
      <w:pPr>
        <w:spacing w:after="60" w:line="360"/>
        <w:ind w:left="708" w:hanging="340"/>
        <w:jc w:val="both"/>
      </w:pPr>
      <w:r>
        <w:rPr>
          <w:rFonts w:ascii="Times New Roman" w:cs="Times New Roman" w:eastAsia="Times New Roman" w:hAnsi="Times New Roman"/>
          <w:sz w:val="24"/>
          <w:szCs w:val="24"/>
        </w:rPr>
        <w:t xml:space="preserve">XII - socorristas; e</w:t>
      </w:r>
    </w:p>
    <w:p>
      <w:pPr>
        <w:spacing w:after="60" w:line="360"/>
        <w:ind w:left="708" w:hanging="340"/>
        <w:jc w:val="both"/>
      </w:pPr>
      <w:r>
        <w:rPr>
          <w:rFonts w:ascii="Times New Roman" w:cs="Times New Roman" w:eastAsia="Times New Roman" w:hAnsi="Times New Roman"/>
          <w:sz w:val="24"/>
          <w:szCs w:val="24"/>
        </w:rPr>
        <w:t xml:space="preserve">XIII - permanência.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Artigo em duplicidade com o Art. 10</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Os interessados (substituto e substituído) em permutar o serviço deverão preencher o formulário padrão para esse tipo de solicitação existente na Seção de Pessoal do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OFICIAL DE DIA</w:t>
      </w:r>
    </w:p>
    <w:p>
      <w:pPr>
        <w:spacing w:after="120" w:line="360"/>
        <w:ind w:firstLine="708"/>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COMANDANTE DE SOCORRO E DO OFICIAL DE DIA NAS UNIDADES</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Somente concorrerão à escala de Comandante de Socorro e de Oficial de dia os oficiais subalternos e Aspirantes a Oficial.</w:t>
      </w:r>
    </w:p>
    <w:p>
      <w:pPr>
        <w:spacing w:after="60" w:line="360"/>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Esses serviços serão realizados no Quartel de cada respectiva Unidade Operacional em regime de trabalho de 24 horas, em casos excepcionais adotar-se-á o regime de turno diferenciado.</w:t>
      </w:r>
    </w:p>
    <w:p>
      <w:pPr>
        <w:spacing w:after="60" w:line="360"/>
        <w:ind w:left="708" w:hanging="0"/>
        <w:jc w:val="both"/>
      </w:pPr>
      <w:r>
        <w:rPr>
          <w:rFonts w:ascii="Times New Roman" w:cs="Times New Roman" w:eastAsia="Times New Roman" w:hAnsi="Times New Roman"/>
          <w:sz w:val="24"/>
          <w:szCs w:val="24"/>
        </w:rPr>
        <w:t xml:space="preserve">Parágrafo único. O serviço de Comandante de socorro e de Oficial de dia poderá ser realizado, a depender do efetivo da OBM, por um mesmo oficial.</w:t>
      </w:r>
    </w:p>
    <w:p>
      <w:pPr>
        <w:spacing w:after="120" w:line="360"/>
        <w:ind w:firstLine="708"/>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Todos os aspectos relacionados ao serviço de Comandante de socorro e de Oficial de dia deverão observar às regras internas da OBM a que o Oficial estiver subordinado,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Os casos omissos serão resolvidos em conjunto pelo Comandante Operacional de Bombeiros e pelo Comandante da OBM.</w:t>
      </w:r>
      <w:r>
        <w:rPr>
          <w:rFonts w:ascii="Times New Roman" w:cs="Times New Roman" w:eastAsia="Times New Roman" w:hAnsi="Times New Roman"/>
          <w:i/>
          <w:iCs/>
          <w:color w:val="888888"/>
          <w:sz w:val="18"/>
          <w:szCs w:val="18"/>
        </w:rPr>
        <w:t xml:space="preserve"> [texto final aplicado]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DEMAIS FUNÇÕES DE SERVIÇO NAS UNIDADES</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DO QUADRO DE ATIVIDADES E DA PASSAGEM DE SERVIÇO</w:t>
      </w:r>
    </w:p>
    <w:p>
      <w:pPr>
        <w:spacing w:after="60" w:line="360"/>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DA INSTRUÇÃO E DOS ALOJAMENTOS</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Cada Unidade Operacional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A instrução deverá ser ministrada impreterivelmente pelo Comandante de Socorro.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Aos assuntos que exijam conhecimento específico, deverão ser solicitados a Diretoria de Pessoal,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O Comandante de Socorro e/ou 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O acesso aos alojamento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Após as 22h00 as luzes do alojamento deverão ser apagadas, ficando proibido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A Prontidão deverá está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O Comandante da guarnição deverá solicitar ao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 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O Comandante de guarnição ao regressar de uma ocorrência deverá imediatamente apresentar-se ao Chefe da Prontidão, relatando os fatos ocorridos durante a operação, lembrando de informar ao Central Integrada de Operações o desfecho da ocorrência.</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DA RESERVA TÉCNICA OPERACIONAL</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Os militares escalados na Reserva Técnica Operacional (RTO) ficam subordinados ao Cmt de Socorro durante o serviço.</w:t>
      </w:r>
    </w:p>
    <w:p>
      <w:pPr>
        <w:spacing w:after="120" w:line="360"/>
        <w:ind w:firstLine="708"/>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Fica atribuída à RTO a manutenção de primeiro escalão dos materiais e equipamentos operacionais.</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Caso necessário, o militar da Reserva Técnica poderá compor a escala de ronda do quartel. Neste caso o mlitar deverá trajar o uniforme de prontidão 4ºA.</w:t>
      </w:r>
    </w:p>
    <w:p>
      <w:pPr>
        <w:spacing w:after="120" w:line="360"/>
        <w:ind w:firstLine="708"/>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O militar escalado na RTO poderá tirar o serviço com o uniforme 5B, salvo o disposto no artigo anterior.</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o SAMU sempre que o acidente, pela sua gravidade, envolva o transporte de vítimas;</w:t>
      </w:r>
    </w:p>
    <w:p>
      <w:pPr>
        <w:spacing w:after="60" w:line="360"/>
        <w:ind w:left="708" w:hanging="340"/>
        <w:jc w:val="both"/>
      </w:pPr>
      <w:r>
        <w:rPr>
          <w:rFonts w:ascii="Times New Roman" w:cs="Times New Roman" w:eastAsia="Times New Roman" w:hAnsi="Times New Roman"/>
          <w:sz w:val="24"/>
          <w:szCs w:val="24"/>
        </w:rPr>
        <w:t xml:space="preserve">X - solicitar a presença da companhia responsável pela manutenção de elevadores, sempre que neste ocorrer defeito ou acidentes envolvendo vítimas;</w:t>
      </w:r>
    </w:p>
    <w:p>
      <w:pPr>
        <w:spacing w:after="60" w:line="360"/>
        <w:ind w:left="708" w:hanging="340"/>
        <w:jc w:val="both"/>
      </w:pPr>
      <w:r>
        <w:rPr>
          <w:rFonts w:ascii="Times New Roman" w:cs="Times New Roman" w:eastAsia="Times New Roman" w:hAnsi="Times New Roman"/>
          <w:sz w:val="24"/>
          <w:szCs w:val="24"/>
        </w:rPr>
        <w:t xml:space="preserve">XI - acionar o helicóptero do GTA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XII - solicitar o apoio da Capitania dos Portos nos acidentes aquáticos; e</w:t>
      </w:r>
    </w:p>
    <w:p>
      <w:pPr>
        <w:spacing w:after="60" w:line="360"/>
        <w:ind w:left="708" w:hanging="340"/>
        <w:jc w:val="both"/>
      </w:pPr>
      <w:r>
        <w:rPr>
          <w:rFonts w:ascii="Times New Roman" w:cs="Times New Roman" w:eastAsia="Times New Roman" w:hAnsi="Times New Roman"/>
          <w:sz w:val="24"/>
          <w:szCs w:val="24"/>
        </w:rPr>
        <w:t xml:space="preserve">XIII - solicitar os órgãos ambientais IBAMA e ou SEDAM nos acidentes contra o meio ambiente. Grande Porte.</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coordenação dos grupos de apoio interno e externo deverá ser feita pelo Comandante de Operações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 Comandante de Operações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de Operações, quanto ao seu emprego e atuação.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A participação e ou o emprego do recurso humano extraordinário ficará condicionada a decisão do Oficial de Dia ou Cmt de Operações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 Disposições Gerais</w:t>
      </w:r>
    </w:p>
    <w:p>
      <w:pPr>
        <w:spacing w:after="0" w:before="240"/>
        <w:jc w:val="center"/>
      </w:pPr>
      <w:r>
        <w:rPr>
          <w:rFonts w:ascii="Times New Roman" w:cs="Times New Roman" w:eastAsia="Times New Roman" w:hAnsi="Times New Roman"/>
          <w:b/>
          <w:bCs/>
          <w:i w:val="false"/>
          <w:iCs w:val="false"/>
          <w:sz w:val="26"/>
          <w:szCs w:val="26"/>
        </w:rPr>
        <w:t xml:space="preserve">CAPÍTULO XV</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O Comando do CBMRO, a fim de regularizar a questão envolvendo pacientes com distúrbios mentais no Estado de Rondônia determina que: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 SES/SSP e o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60" w:line="360"/>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0" w:before="240"/>
        <w:jc w:val="center"/>
      </w:pPr>
      <w:r>
        <w:rPr>
          <w:rFonts w:ascii="Times New Roman" w:cs="Times New Roman" w:eastAsia="Times New Roman" w:hAnsi="Times New Roman"/>
          <w:b/>
          <w:bCs/>
          <w:i w:val="false"/>
          <w:iCs w:val="false"/>
          <w:sz w:val="26"/>
          <w:szCs w:val="26"/>
        </w:rPr>
        <w:t xml:space="preserve">CAPÍTULO XVI</w:t>
      </w:r>
    </w:p>
    <w:p>
      <w:pPr>
        <w:spacing w:after="120" w:before="0"/>
        <w:jc w:val="center"/>
      </w:pPr>
      <w:r>
        <w:rPr>
          <w:rFonts w:ascii="Times New Roman" w:cs="Times New Roman" w:eastAsia="Times New Roman" w:hAnsi="Times New Roman"/>
          <w:b/>
          <w:bCs/>
          <w:i w:val="false"/>
          <w:iCs w:val="false"/>
          <w:sz w:val="26"/>
          <w:szCs w:val="26"/>
        </w:rPr>
        <w:t xml:space="preserve">DA CENTRAL INTEGRADA DE OPERAÇÕES E DO TELEDESPACHO</w:t>
      </w:r>
    </w:p>
    <w:p>
      <w:pPr>
        <w:spacing w:after="60" w:line="360"/>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165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166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167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168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169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Batalhões Bombeiro Militar.</w:t>
      </w:r>
    </w:p>
    <w:p>
      <w:pPr>
        <w:spacing w:after="120" w:line="360"/>
        <w:ind w:firstLine="708"/>
        <w:jc w:val="both"/>
      </w:pPr>
      <w:r>
        <w:rPr>
          <w:rFonts w:ascii="Times New Roman" w:cs="Times New Roman" w:eastAsia="Times New Roman" w:hAnsi="Times New Roman"/>
          <w:b/>
          <w:bCs/>
          <w:sz w:val="24"/>
          <w:szCs w:val="24"/>
        </w:rPr>
        <w:t xml:space="preserve">Art. 170 </w:t>
      </w:r>
      <w:r>
        <w:rPr>
          <w:rFonts w:ascii="Times New Roman" w:cs="Times New Roman" w:eastAsia="Times New Roman" w:hAnsi="Times New Roman"/>
          <w:sz w:val="24"/>
          <w:szCs w:val="24"/>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171 </w:t>
      </w:r>
      <w:r>
        <w:rPr>
          <w:rFonts w:ascii="Times New Roman" w:cs="Times New Roman" w:eastAsia="Times New Roman" w:hAnsi="Times New Roman"/>
          <w:sz w:val="24"/>
          <w:szCs w:val="24"/>
        </w:rPr>
        <w:t xml:space="preserve">Os casos omissos ao presente Regulamento Geral serão dirimidos pelo Comandante-Geral do Corpo de Bombeiros Militar. ** Este texto não substitui o publicado no Boletim Geral Eletrônico – BGE</w:t>
      </w:r>
    </w:p>
    <w:p>
      <w:r>
        <w:br w:type="page"/>
      </w:r>
    </w:p>
    <w:p>
      <w:pPr>
        <w:spacing w:after="200" w:before="240"/>
        <w:jc w:val="center"/>
      </w:pPr>
      <w:r>
        <w:rPr>
          <w:rFonts w:ascii="Times New Roman" w:cs="Times New Roman" w:eastAsia="Times New Roman" w:hAnsi="Times New Roman"/>
          <w:b/>
          <w:bCs/>
          <w:i w:val="false"/>
          <w:iCs w:val="false"/>
          <w:sz w:val="26"/>
          <w:szCs w:val="26"/>
        </w:rPr>
        <w:t xml:space="preserve">ANEXO I — CORRESPONDÊNCIA DE NUMERAÇÃO</w:t>
      </w:r>
    </w:p>
    <w:p>
      <w:pPr>
        <w:spacing w:after="120" w:line="360"/>
        <w:ind w:firstLine="708"/>
        <w:jc w:val="both"/>
      </w:pPr>
      <w:r>
        <w:rPr>
          <w:rFonts w:ascii="Times New Roman" w:cs="Times New Roman" w:eastAsia="Times New Roman" w:hAnsi="Times New Roman"/>
          <w:b w:val="false"/>
          <w:bCs w:val="false"/>
          <w:i/>
          <w:iCs/>
          <w:sz w:val="20"/>
          <w:szCs w:val="20"/>
        </w:rPr>
        <w:t xml:space="preserve">Correspondência entre a numeração desta proposta e a da versão em consulta no portal.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3300"/>
        <w:gridCol w:w="34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Art. (proposta)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Art.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Origem (capítulo em consulta / id)</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Nova posição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 / mt-art-1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 / mt-art-2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 / mt-art-3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 — DOS OBJETIVOS E DA POLÍTICA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 — DOS OBJETIVOS E DA POLÍTICA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VI — DA COMUNICAÇÃO SOCIAL E DAS RELAÇÕES COM A IMPRENSA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 — DAS FUNÇÕES DO SERVIÇO OPERACIONAL DIÁRIO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XIII — DO BOMBEIRO MILITAR DE FOLGA EM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XIII — DO BOMBEIRO MILITAR DE FOLGA EM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 — DOS PROTOCOLOS ESPECIAIS DE ATENDIMENTO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 — DOS PROTOCOLOS ESPECIAIS DE ATENDIMENTO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 — DO SISTEMA DE SEGURANÇA CONTRA INCÊNDIO E PÂNICO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V — DAS PENALIDADES, DAS COMISSÕES E DO DIREITO DE DEFESA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V — DAS PENALIDADES, DAS COMISSÕES E DO DIREITO DE DEFESA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FINAIS / mt-art-264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III · CAPÍTULO I — DAS DISPOSIÇÕES FINAIS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FINAIS / mt-art-265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III · CAPÍTULO I — DAS DISPOSIÇÕES FINAIS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FINAIS / mt-art-266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III · CAPÍTULO I — DAS DISPOSIÇÕES FINAIS</w:t>
            </w:r>
          </w:p>
        </w:tc>
      </w:tr>
    </w:tbl>
    <w:p>
      <w:r>
        <w:br w:type="page"/>
      </w:r>
    </w:p>
    <w:p>
      <w:pPr>
        <w:spacing w:after="200" w:before="240"/>
        <w:jc w:val="center"/>
      </w:pPr>
      <w:r>
        <w:rPr>
          <w:rFonts w:ascii="Times New Roman" w:cs="Times New Roman" w:eastAsia="Times New Roman" w:hAnsi="Times New Roman"/>
          <w:b/>
          <w:bCs/>
          <w:i w:val="false"/>
          <w:iCs w:val="false"/>
          <w:sz w:val="26"/>
          <w:szCs w:val="26"/>
        </w:rPr>
        <w:t xml:space="preserve">ANEXO II — NOTAS DE ESTRUTURAÇÃO (AJUSTES DE REDAÇÃO A DELIBERAR)</w:t>
      </w:r>
    </w:p>
    <w:p>
      <w:pPr>
        <w:spacing w:after="120" w:line="360"/>
        <w:ind w:firstLine="708"/>
        <w:jc w:val="both"/>
      </w:pPr>
      <w:r>
        <w:rPr>
          <w:rFonts w:ascii="Times New Roman" w:cs="Times New Roman" w:eastAsia="Times New Roman" w:hAnsi="Times New Roman"/>
          <w:b w:val="false"/>
          <w:bCs w:val="false"/>
          <w:i/>
          <w:iCs/>
          <w:sz w:val="20"/>
          <w:szCs w:val="20"/>
        </w:rPr>
        <w:t xml:space="preserve">Nenhum ajuste abaixo foi aplicado ao texto. São consequências da nova ordem (artigo que muda de alcance ao subir para a Parte Geral, duplicidades que ficam lado a lado, resíduos de extração da fonte) que passam a ficar visíveis e pedem decisão.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Art. (proposta)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caput fala em "serviço operacional diário"; na Parte Geral passa a abranger também o serviço técnico. Sugestão: "dispor sobre o serviço operacional e o serviço técnico no âmbito do CBMRO".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 cita "Funções integrantes do Serviço Operacional"; na Parte Geral, ampliar para "do Serviço Operacional e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"Política do serviço operacional" — avaliar se os objetivos IV a VIII (socorros, viaturas, reserva operacional) valem também para o serviço técnico ou se o artigo deve descer ao Título I da Parte Especial.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já abrange "serviço administrativo e operacional"; os incisos tratam só de escalas operacionais. Manter na Parte Geral e acrescentar inciso para o expediente do serviço técnico, ou remeter à NGA da CAT.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de título de seção da fonte ("Comandante de Guarnição – Do Condutor…"): cortar após "Comandante da OBM."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"Operações" no fim: cortar. Repete se-art-43 (casos omissos): na nova estrutura, um único artigo de casos omissos do Título I basta.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"durante Ocorrências" no fim: cortar. Passa à Parte Geral (permutas), junto de se-art-111.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"com Distúrbios Mentais"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XIII traz resíduo "Grande Porte"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"Disposições Gerais"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servico-interno-dia/se-art-107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"Operacional"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se-art-29 (apresentação ao COB ao sair/retornar da escala). Com Superior de Dia e Oficial de Dia em capítulos próprios, fundir num único artigo da Parte Geral ou manter um em cada capítulo — decidir.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se-art-30 (permuta com 48h de antecedência). Mesma decisão de se-art-36.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se-art-31 (área de atuação estadual do Superior de Dia) e está no bloco do Oficial de Dia — provável erro de transplante; no capítulo do Oficial de Dia a área é a da OBM (se-art-42/46). Suprimir ou corrigir.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se-art-42 (serviço no quartel de cada OBM). Fundir.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servico-interno-dia/se-art-85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Concordância: "ao Central Integrada de Operações" → "à Central Integrada de Operações". Idem se-art-91.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disposicoes-finais/mt-art-264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Fala em "Batalhões Bombeiro Militar" (CBMMT); na LOB de RO as unidades são Grupamentos (GBM). Ajustar.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disposicoes-finais/mt-art-266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rodapé de publicação de MT ("Este texto não substitui o publicado no Boletim Geral Eletrônico – BGE"):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disposicoes-preliminares/mt-art-1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82 da Constituição Estadual" é a referência de Mato Grosso; conferir o artigo correspondente na Constituição de Rondônia (art. 148, já corrigido na versão atual).</w:t>
            </w:r>
          </w:p>
        </w:tc>
      </w:tr>
    </w:tbl>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reestruturada (Parte Geral + Parte Especial)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2026-09-14T18:36:39.533Z</dcterms:created>
  <dcterms:modified xsi:type="dcterms:W3CDTF">2026-09-14T18:36:39.533Z</dcterms:modified>
</cp:coreProperties>
</file>

<file path=docProps/custom.xml><?xml version="1.0" encoding="utf-8"?>
<Properties xmlns="http://schemas.openxmlformats.org/officeDocument/2006/custom-properties" xmlns:vt="http://schemas.openxmlformats.org/officeDocument/2006/docPropsVTypes"/>
</file>