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Análise das interações da consulta e proposta de aplicação — 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120" w:line="300"/>
        <w:jc w:val="both"/>
      </w:pPr>
      <w:r>
        <w:rPr>
          <w:rFonts w:ascii="Times New Roman" w:cs="Times New Roman" w:eastAsia="Times New Roman" w:hAnsi="Times New Roman"/>
          <w:i w:val="false"/>
          <w:iCs w:val="false"/>
          <w:sz w:val="22"/>
          <w:szCs w:val="22"/>
        </w:rPr>
        <w:t xml:space="preserve">Data: 11 de setembro de 2026. Fonte: coleção de sugestões do Portal de Legislação CBM (exportada em 11/09/2026, 14h50), cruzada com o texto da minuta em consulta (171 artigos, cenário Lei nº 2.204/2009) e com os textos finais já fechados no portal. Este documento acompanha o "Relatório das interações recebidas" (lista integral, registro a registro) e as duas minutas anexas (versão em consulta e versão reestruturada em Parte Geral e Parte Especial).</w:t>
      </w:r>
    </w:p>
    <w:p>
      <w:pPr>
        <w:spacing w:after="120" w:before="280"/>
      </w:pPr>
      <w:r>
        <w:rPr>
          <w:rFonts w:ascii="Times New Roman" w:cs="Times New Roman" w:eastAsia="Times New Roman" w:hAnsi="Times New Roman"/>
          <w:b/>
          <w:bCs/>
          <w:sz w:val="24"/>
          <w:szCs w:val="24"/>
        </w:rPr>
        <w:t xml:space="preserve">1. Panorama da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Indicador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Valor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Militares cadastrados com acesso "Só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9 (8 reais + 1 conta de teste)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Militares que registraram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 — Cel. BM Luiz Eduardo Oliveira Firmino (cadastrado pelo 3º GBM, COB II, Vilhena), o mesmo oficial que sugeriu a estrutura em Parte Geral e Parte Especial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do Cel. Luiz Eduardo sobre o recorte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 (19/08 e 25/08/2026)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da equipe de curadoria sobre o recorte (Ten. Tiago 47, Wândrio 3, teste 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51 (17 e 18/08/2026, já conferidas em 18/08)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do Regulamento fora do recorte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Dispositivos do recorte com texto final "fechado" no portal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78 (21 com redação nova, 13 marcados "Excluir", 44 fechados sem texto)</w:t>
            </w:r>
          </w:p>
        </w:tc>
      </w:tr>
    </w:tbl>
    <w:p>
      <w:pPr>
        <w:spacing w:after="120"/>
      </w:pPr>
    </w:p>
    <w:p>
      <w:pPr>
        <w:spacing w:after="120" w:line="300"/>
        <w:jc w:val="both"/>
      </w:pPr>
      <w:r>
        <w:rPr>
          <w:rFonts w:ascii="Times New Roman" w:cs="Times New Roman" w:eastAsia="Times New Roman" w:hAnsi="Times New Roman"/>
          <w:i w:val="false"/>
          <w:iCs w:val="false"/>
          <w:sz w:val="22"/>
          <w:szCs w:val="22"/>
        </w:rPr>
        <w:t xml:space="preserve">Quem entrou e não se manifestou: os cinco integrantes do serviço técnico (DAT Porto Velho — Frederico Bani Maier e Sérgio Felipe Furukawa; DAT Ji-Paraná — Cap. BM Anderson Alves Lima; DAT Cacoal — Érica Barreto; DAT Cacoal/SAT Rolim — Lindonei Conceição) fizeram login em 18 e 19/08 e não registraram nada. O 2º GBM (Annelsandre Costa) segue com cadastro pendente e nunca acessou. Consequência prática: o Título do Serviço Técnico não recebeu nenhuma validação da área que o executa, enquanto o Serviço Operacional recebeu uma reescrita quase integral de um único oficial. O Cel. Luiz Eduardo usou duas contas (hotmail e gmail); os registros foram somados.</w:t>
      </w:r>
    </w:p>
    <w:p>
      <w:pPr>
        <w:spacing w:after="120" w:before="280"/>
      </w:pPr>
      <w:r>
        <w:rPr>
          <w:rFonts w:ascii="Times New Roman" w:cs="Times New Roman" w:eastAsia="Times New Roman" w:hAnsi="Times New Roman"/>
          <w:b/>
          <w:bCs/>
          <w:sz w:val="24"/>
          <w:szCs w:val="24"/>
        </w:rPr>
        <w:t xml:space="preserve">2. Natureza das contribuições do Cel. Luiz Eduardo</w:t>
      </w:r>
    </w:p>
    <w:p>
      <w:pPr>
        <w:spacing w:after="120" w:line="300"/>
        <w:jc w:val="both"/>
      </w:pPr>
      <w:r>
        <w:rPr>
          <w:rFonts w:ascii="Times New Roman" w:cs="Times New Roman" w:eastAsia="Times New Roman" w:hAnsi="Times New Roman"/>
          <w:i w:val="false"/>
          <w:iCs w:val="false"/>
          <w:sz w:val="22"/>
          <w:szCs w:val="22"/>
        </w:rPr>
        <w:t xml:space="preserve">Não são comentários pontuais. O oficial redigiu texto substitutivo completo, inciso por inciso, colando cada inciso no balão do dispositivo mais próximo (por isso há dezenas de registros num mesmo endereço, como "Art. 4º, inciso V"). Lidos em sequência, os 271 registros formam 14 blocos, abaixo, com o parecer e a forma de aplicação de cada um. As marcações de parecer são: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(aplicar como está, com ajustes de forma),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(aplicar após checar um ponto objetivo),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(depende de deliberação de mérito do CONDEG ou do Comando).</w:t>
      </w:r>
    </w:p>
    <w:p>
      <w:pPr>
        <w:spacing w:after="80" w:before="200"/>
      </w:pPr>
      <w:r>
        <w:rPr>
          <w:rFonts w:ascii="Times New Roman" w:cs="Times New Roman" w:eastAsia="Times New Roman" w:hAnsi="Times New Roman"/>
          <w:b/>
          <w:bCs/>
          <w:i/>
          <w:iCs/>
          <w:sz w:val="22"/>
          <w:szCs w:val="22"/>
        </w:rPr>
        <w:t xml:space="preserve">Bloco 1 — Competências do CBMRO (Art. 3º da minuta; `disposicoes-preliminares/mt-art-3`) — 26 registros</w:t>
      </w:r>
    </w:p>
    <w:p>
      <w:pPr>
        <w:spacing w:after="120" w:line="300"/>
        <w:jc w:val="both"/>
      </w:pPr>
      <w:r>
        <w:rPr>
          <w:rFonts w:ascii="Times New Roman" w:cs="Times New Roman" w:eastAsia="Times New Roman" w:hAnsi="Times New Roman"/>
          <w:i w:val="false"/>
          <w:iCs w:val="false"/>
          <w:sz w:val="22"/>
          <w:szCs w:val="22"/>
        </w:rPr>
        <w:t xml:space="preserve">Propõe substituir o rol de 11 incisos, importado do Regulamento do CBMMT, pelos 25 incisos do art. 2º da Lei nº 2.204/2009 (redação da Lei nº 3.413/2014), transcritos integralmente. Conferido contra o texto da LOB no acervo do portal: a transcrição é fiel. Converge com a pergunta do Wândrio de 17/08 ("importar todas as 25?").</w:t>
      </w:r>
    </w:p>
    <w:p>
      <w:pPr>
        <w:spacing w:after="120" w:line="300"/>
        <w:jc w:val="both"/>
      </w:pPr>
      <w:r>
        <w:rPr>
          <w:rFonts w:ascii="Times New Roman" w:cs="Times New Roman" w:eastAsia="Times New Roman" w:hAnsi="Times New Roman"/>
          <w:i w:val="false"/>
          <w:iCs w:val="false"/>
          <w:sz w:val="22"/>
          <w:szCs w:val="22"/>
        </w:rPr>
        <w:t xml:space="preserve">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O Regulamento de Serviço circula sozinho na tropa; a transcrição evita remissão a texto que o leitor não tem à mão. Aplicação: substituir caput e incisos do </w:t>
      </w:r>
      <w:r>
        <w:rPr>
          <w:rFonts w:ascii="Times New Roman" w:cs="Times New Roman" w:eastAsia="Times New Roman" w:hAnsi="Times New Roman"/>
          <w:i/>
          <w:iCs/>
          <w:sz w:val="22"/>
          <w:szCs w:val="22"/>
        </w:rPr>
        <w:t xml:space="preserve">mt-art-3</w:t>
      </w:r>
      <w:r>
        <w:rPr>
          <w:rFonts w:ascii="Times New Roman" w:cs="Times New Roman" w:eastAsia="Times New Roman" w:hAnsi="Times New Roman"/>
          <w:i w:val="false"/>
          <w:iCs w:val="false"/>
          <w:sz w:val="22"/>
          <w:szCs w:val="22"/>
        </w:rPr>
        <w:t xml:space="preserve"> pela transcrição, com o caput "Compete ao CBMRO, nos termos do art. 2º da Lei nº 2.204/2009, a execução das seguintes atividades:". Resolve também o Art. 1º (Wândrio já fechou texto final trocando "Art. 82" por "Art. 148 da Constituição Estadual").</w:t>
      </w:r>
    </w:p>
    <w:p>
      <w:pPr>
        <w:spacing w:after="80" w:before="200"/>
      </w:pPr>
      <w:r>
        <w:rPr>
          <w:rFonts w:ascii="Times New Roman" w:cs="Times New Roman" w:eastAsia="Times New Roman" w:hAnsi="Times New Roman"/>
          <w:b/>
          <w:bCs/>
          <w:i/>
          <w:iCs/>
          <w:sz w:val="22"/>
          <w:szCs w:val="22"/>
        </w:rPr>
        <w:t xml:space="preserve">Bloco 2 — Comandante Operacional de Bombeiros (Art. 4º; `atribuicoes-funcoes/ro-art-1`) — 42 registros</w:t>
      </w:r>
    </w:p>
    <w:p>
      <w:pPr>
        <w:spacing w:after="120" w:line="300"/>
        <w:jc w:val="both"/>
      </w:pPr>
      <w:r>
        <w:rPr>
          <w:rFonts w:ascii="Times New Roman" w:cs="Times New Roman" w:eastAsia="Times New Roman" w:hAnsi="Times New Roman"/>
          <w:i w:val="false"/>
          <w:iCs w:val="false"/>
          <w:sz w:val="22"/>
          <w:szCs w:val="22"/>
        </w:rPr>
        <w:t xml:space="preserve">Duas partes: (a) transcrever o art. 35 e o parágrafo único da LOB (natureza e estrutura do COB: Comandante, Adjunto, Seções de Pessoal, Administrativa, Informática, Correição, Planejamento Operacional e Controle de Resultados, Agência Regional de Inteligência, Órgãos de Execução); (b) 21 incisos de atribuições no lugar dos 8 atuais.</w:t>
      </w:r>
    </w:p>
    <w:p>
      <w:pPr>
        <w:spacing w:after="120" w:line="300"/>
        <w:jc w:val="both"/>
      </w:pPr>
      <w:r>
        <w:rPr>
          <w:rFonts w:ascii="Times New Roman" w:cs="Times New Roman" w:eastAsia="Times New Roman" w:hAnsi="Times New Roman"/>
          <w:i w:val="false"/>
          <w:iCs w:val="false"/>
          <w:sz w:val="22"/>
          <w:szCs w:val="22"/>
        </w:rPr>
        <w:t xml:space="preserve">Parecer (a):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como artigo de abertura do capítulo das funções do COB. Corrigir a data da citação, que veio "25/0/2018" (é 25/06/2018). Parecer (b):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Os incisos I a IX, XIV a XXI absorvem e detalham os atuais. Pontos a conferir antes de incorporar:</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Incisos X a XIII fundamentam a movimentação de praças e oficiais no "art. 13 do Regulamento de Movimentação aprovado pelo Decreto nº 8.134, de 18 de dezembro de 1997". Esse decreto não está no acervo do portal; conferir a vigência e o teor do art. 13 antes de citá-lo num regulamento novo.</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Os atuais incisos V (autorizar por escrito a permuta do Oficial de Dia) e VI (acionar o Superior de Dia nas ocorrências de grande vulto) não aparecem na versão dele; manter os dois, porque são regras específicas que o texto genérico (inciso VIII, "autorizar alterações e permutas") não cobre.</w:t>
      </w:r>
    </w:p>
    <w:p>
      <w:pPr>
        <w:spacing w:after="80" w:before="200"/>
      </w:pPr>
      <w:r>
        <w:rPr>
          <w:rFonts w:ascii="Times New Roman" w:cs="Times New Roman" w:eastAsia="Times New Roman" w:hAnsi="Times New Roman"/>
          <w:b/>
          <w:bCs/>
          <w:i/>
          <w:iCs/>
          <w:sz w:val="22"/>
          <w:szCs w:val="22"/>
        </w:rPr>
        <w:t xml:space="preserve">Bloco 3 — Adjunto do COB (Art. 5º; `ro-art-2`) — 8 registros</w:t>
      </w:r>
    </w:p>
    <w:p>
      <w:pPr>
        <w:spacing w:after="120" w:line="300"/>
        <w:jc w:val="both"/>
      </w:pPr>
      <w:r>
        <w:rPr>
          <w:rFonts w:ascii="Times New Roman" w:cs="Times New Roman" w:eastAsia="Times New Roman" w:hAnsi="Times New Roman"/>
          <w:i w:val="false"/>
          <w:iCs w:val="false"/>
          <w:sz w:val="22"/>
          <w:szCs w:val="22"/>
        </w:rPr>
        <w:t xml:space="preserve">Oito incisos no lugar de três.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mantendo o atual inciso II ("substituir o Comandante Operacional em seus impedimentos"), que a versão dele não repete e que é a função essencial do Adjunto.</w:t>
      </w:r>
    </w:p>
    <w:p>
      <w:pPr>
        <w:spacing w:after="80" w:before="200"/>
      </w:pPr>
      <w:r>
        <w:rPr>
          <w:rFonts w:ascii="Times New Roman" w:cs="Times New Roman" w:eastAsia="Times New Roman" w:hAnsi="Times New Roman"/>
          <w:b/>
          <w:bCs/>
          <w:i/>
          <w:iCs/>
          <w:sz w:val="22"/>
          <w:szCs w:val="22"/>
        </w:rPr>
        <w:t xml:space="preserve">Bloco 4 — Seção de Pessoal do COB (Art. 6º; `ro-art-3`) — 9 registros</w:t>
      </w:r>
    </w:p>
    <w:p>
      <w:pPr>
        <w:spacing w:after="120" w:line="300"/>
        <w:jc w:val="both"/>
      </w:pPr>
      <w:r>
        <w:rPr>
          <w:rFonts w:ascii="Times New Roman" w:cs="Times New Roman" w:eastAsia="Times New Roman" w:hAnsi="Times New Roman"/>
          <w:i w:val="false"/>
          <w:iCs w:val="false"/>
          <w:sz w:val="22"/>
          <w:szCs w:val="22"/>
        </w:rPr>
        <w:t xml:space="preserve">Caput mais incisos I e III a IX (o inciso II não foi enviado; renumerar). Parecer: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 o inciso III cita o mesmo Decreto nº 8.134/1997 do Bloco 2.</w:t>
      </w:r>
    </w:p>
    <w:p>
      <w:pPr>
        <w:spacing w:after="80" w:before="200"/>
      </w:pPr>
      <w:r>
        <w:rPr>
          <w:rFonts w:ascii="Times New Roman" w:cs="Times New Roman" w:eastAsia="Times New Roman" w:hAnsi="Times New Roman"/>
          <w:b/>
          <w:bCs/>
          <w:i/>
          <w:iCs/>
          <w:sz w:val="22"/>
          <w:szCs w:val="22"/>
        </w:rPr>
        <w:t xml:space="preserve">Blocos 5 a 8 — Seções Administrativa (Art. 7º), de Informática (Art. 8º), de Correição (Art. 9º) e de Planejamento Operacional e Controle de Resultados (Art. 10) — 33 registros</w:t>
      </w:r>
    </w:p>
    <w:p>
      <w:pPr>
        <w:spacing w:after="120" w:line="300"/>
        <w:jc w:val="both"/>
      </w:pPr>
      <w:r>
        <w:rPr>
          <w:rFonts w:ascii="Times New Roman" w:cs="Times New Roman" w:eastAsia="Times New Roman" w:hAnsi="Times New Roman"/>
          <w:i w:val="false"/>
          <w:iCs w:val="false"/>
          <w:sz w:val="22"/>
          <w:szCs w:val="22"/>
        </w:rPr>
        <w:t xml:space="preserve">Caput e incisos completos para cada seção (9, 3, 8 e 9 incisos).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 versão da Seção de Informática é mais realista que a atual: descreve uma seção de interlocução com a Diretoria de Informática, e não uma seção que "zela pelos sistemas corporativos". A Seção de Correição fica corretamente subordinada às competências da Corregedoria-Geral.</w:t>
      </w:r>
    </w:p>
    <w:p>
      <w:pPr>
        <w:spacing w:after="80" w:before="200"/>
      </w:pPr>
      <w:r>
        <w:rPr>
          <w:rFonts w:ascii="Times New Roman" w:cs="Times New Roman" w:eastAsia="Times New Roman" w:hAnsi="Times New Roman"/>
          <w:b/>
          <w:bCs/>
          <w:i/>
          <w:iCs/>
          <w:sz w:val="22"/>
          <w:szCs w:val="22"/>
        </w:rPr>
        <w:t xml:space="preserve">Bloco 9 — Agência Regional de Inteligência (Art. 11; `ro-art-8`) — 9 registros</w:t>
      </w:r>
    </w:p>
    <w:p>
      <w:pPr>
        <w:spacing w:after="120" w:line="300"/>
        <w:jc w:val="both"/>
      </w:pPr>
      <w:r>
        <w:rPr>
          <w:rFonts w:ascii="Times New Roman" w:cs="Times New Roman" w:eastAsia="Times New Roman" w:hAnsi="Times New Roman"/>
          <w:i w:val="false"/>
          <w:iCs w:val="false"/>
          <w:sz w:val="22"/>
          <w:szCs w:val="22"/>
        </w:rPr>
        <w:t xml:space="preserve">Caput e sete incisos. Parecer: </w:t>
      </w:r>
      <w:r>
        <w:rPr>
          <w:rFonts w:ascii="Times New Roman" w:cs="Times New Roman" w:eastAsia="Times New Roman" w:hAnsi="Times New Roman"/>
          <w:b/>
          <w:bCs/>
          <w:i w:val="false"/>
          <w:iCs w:val="false"/>
          <w:sz w:val="22"/>
          <w:szCs w:val="22"/>
        </w:rPr>
        <w:t xml:space="preserve">ACOLHER COM CONFERÊNCIA</w:t>
      </w:r>
      <w:r>
        <w:rPr>
          <w:rFonts w:ascii="Times New Roman" w:cs="Times New Roman" w:eastAsia="Times New Roman" w:hAnsi="Times New Roman"/>
          <w:i w:val="false"/>
          <w:iCs w:val="false"/>
          <w:sz w:val="22"/>
          <w:szCs w:val="22"/>
        </w:rPr>
        <w:t xml:space="preserve">: os incisos II e VI atribuem à ARI o trâmite de aquisição, transferência e restrição de porte de armamento; confirmar com a Diretoria de Inteligência e a Diretoria de Logística se essa é a rotina vigente. O registro nº 122 é a justificativa do Subgrupamento colada por engano neste artigo; descartar.</w:t>
      </w:r>
    </w:p>
    <w:p>
      <w:pPr>
        <w:spacing w:after="80" w:before="200"/>
      </w:pPr>
      <w:r>
        <w:rPr>
          <w:rFonts w:ascii="Times New Roman" w:cs="Times New Roman" w:eastAsia="Times New Roman" w:hAnsi="Times New Roman"/>
          <w:b/>
          <w:bCs/>
          <w:i/>
          <w:iCs/>
          <w:sz w:val="22"/>
          <w:szCs w:val="22"/>
        </w:rPr>
        <w:t xml:space="preserve">Bloco 10 — Comandante de Grupamento (Art. 12; `ro-art-9`) — 36 registros</w:t>
      </w:r>
    </w:p>
    <w:p>
      <w:pPr>
        <w:spacing w:after="120" w:line="300"/>
        <w:jc w:val="both"/>
      </w:pPr>
      <w:r>
        <w:rPr>
          <w:rFonts w:ascii="Times New Roman" w:cs="Times New Roman" w:eastAsia="Times New Roman" w:hAnsi="Times New Roman"/>
          <w:i w:val="false"/>
          <w:iCs w:val="false"/>
          <w:sz w:val="22"/>
          <w:szCs w:val="22"/>
        </w:rPr>
        <w:t xml:space="preserve">Três coisas: (a) 19 incisos de atribuições no lugar dos 4 atuais; (b) transcrição do art. 47, § 1º, da LOB (estrutura do GBM: Comando com Comandante, Subcomandante e Auxiliares; Estado-Maior B1 a B6) — conferida no acervo, fiel; (c) fundamentação para que o Regulamento discipline também Subcomandante, Auxiliares e as seis seções do Estado-Maior do GBM.</w:t>
      </w:r>
    </w:p>
    <w:p>
      <w:pPr>
        <w:spacing w:after="120" w:line="300"/>
        <w:jc w:val="both"/>
      </w:pPr>
      <w:r>
        <w:rPr>
          <w:rFonts w:ascii="Times New Roman" w:cs="Times New Roman" w:eastAsia="Times New Roman" w:hAnsi="Times New Roman"/>
          <w:i w:val="false"/>
          <w:iCs w:val="false"/>
          <w:sz w:val="22"/>
          <w:szCs w:val="22"/>
        </w:rPr>
        <w:t xml:space="preserve">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(a) e (b);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 como frente de redação nova. O item (c) coincide com pendência já registrada no backlog do portal em 18/08 ("cadeia de comando abaixo do SGBM ficou órfã; o Subcomandante do GBM perdeu o artigo de MT sem substituto"). O oficial não redigiu esses artigos; a redação pode partir dos regulamentos de MT, PA e do RISG já carregados no Subsídio do portal, com adaptação.</w:t>
      </w:r>
    </w:p>
    <w:p>
      <w:pPr>
        <w:spacing w:after="80" w:before="200"/>
      </w:pPr>
      <w:r>
        <w:rPr>
          <w:rFonts w:ascii="Times New Roman" w:cs="Times New Roman" w:eastAsia="Times New Roman" w:hAnsi="Times New Roman"/>
          <w:b/>
          <w:bCs/>
          <w:i/>
          <w:iCs/>
          <w:sz w:val="22"/>
          <w:szCs w:val="22"/>
        </w:rPr>
        <w:t xml:space="preserve">Bloco 11 — Comandante de Subgrupamento (Art. 13; `ro-art-10`) — 19 registros</w:t>
      </w:r>
    </w:p>
    <w:p>
      <w:pPr>
        <w:spacing w:after="120" w:line="300"/>
        <w:jc w:val="both"/>
      </w:pPr>
      <w:r>
        <w:rPr>
          <w:rFonts w:ascii="Times New Roman" w:cs="Times New Roman" w:eastAsia="Times New Roman" w:hAnsi="Times New Roman"/>
          <w:i w:val="false"/>
          <w:iCs w:val="false"/>
          <w:sz w:val="22"/>
          <w:szCs w:val="22"/>
        </w:rPr>
        <w:t xml:space="preserve">18 incisos e a mesma proposta de detalhar Subcomandante e Auxiliares do SGBM.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com a mesma frente de redação do Bloco 10.</w:t>
      </w:r>
    </w:p>
    <w:p>
      <w:pPr>
        <w:spacing w:after="80" w:before="200"/>
      </w:pPr>
      <w:r>
        <w:rPr>
          <w:rFonts w:ascii="Times New Roman" w:cs="Times New Roman" w:eastAsia="Times New Roman" w:hAnsi="Times New Roman"/>
          <w:b/>
          <w:bCs/>
          <w:i/>
          <w:iCs/>
          <w:sz w:val="22"/>
          <w:szCs w:val="22"/>
        </w:rPr>
        <w:t xml:space="preserve">Bloco 12 — Objetivos do Regulamento (Art. 24; `servico-operacional/se-art-2`) — 10 registros</w:t>
      </w:r>
    </w:p>
    <w:p>
      <w:pPr>
        <w:spacing w:after="120" w:line="300"/>
        <w:jc w:val="both"/>
      </w:pPr>
      <w:r>
        <w:rPr>
          <w:rFonts w:ascii="Times New Roman" w:cs="Times New Roman" w:eastAsia="Times New Roman" w:hAnsi="Times New Roman"/>
          <w:i w:val="false"/>
          <w:iCs w:val="false"/>
          <w:sz w:val="22"/>
          <w:szCs w:val="22"/>
        </w:rPr>
        <w:t xml:space="preserve">Caput e nove incisos, reescrevendo o texto herdado do RISD de Sergipe em linguagem atual.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Na estrutura em Parte Geral e Parte Especial esse artigo sobe para a Parte Geral, e os incisos I e VI, que falam só em "Serviço Operacional", passam a dizer "serviço operacional e serviço técnico".</w:t>
      </w:r>
    </w:p>
    <w:p>
      <w:pPr>
        <w:spacing w:after="80" w:before="200"/>
      </w:pPr>
      <w:r>
        <w:rPr>
          <w:rFonts w:ascii="Times New Roman" w:cs="Times New Roman" w:eastAsia="Times New Roman" w:hAnsi="Times New Roman"/>
          <w:b/>
          <w:bCs/>
          <w:i/>
          <w:iCs/>
          <w:sz w:val="22"/>
          <w:szCs w:val="22"/>
        </w:rPr>
        <w:t xml:space="preserve">Bloco 13 — Política do serviço (Art. 25; `se-art-3`) — 14 registros</w:t>
      </w:r>
    </w:p>
    <w:p>
      <w:pPr>
        <w:spacing w:after="120" w:line="300"/>
        <w:jc w:val="both"/>
      </w:pPr>
      <w:r>
        <w:rPr>
          <w:rFonts w:ascii="Times New Roman" w:cs="Times New Roman" w:eastAsia="Times New Roman" w:hAnsi="Times New Roman"/>
          <w:i w:val="false"/>
          <w:iCs w:val="false"/>
          <w:sz w:val="22"/>
          <w:szCs w:val="22"/>
        </w:rPr>
        <w:t xml:space="preserve">Caput, parágrafo único e doze incisos. Parecer: </w:t>
      </w:r>
      <w:r>
        <w:rPr>
          <w:rFonts w:ascii="Times New Roman" w:cs="Times New Roman" w:eastAsia="Times New Roman" w:hAnsi="Times New Roman"/>
          <w:b/>
          <w:bCs/>
          <w:i w:val="false"/>
          <w:iCs w:val="false"/>
          <w:sz w:val="22"/>
          <w:szCs w:val="22"/>
        </w:rPr>
        <w:t xml:space="preserve">ACOLHER</w:t>
      </w:r>
      <w:r>
        <w:rPr>
          <w:rFonts w:ascii="Times New Roman" w:cs="Times New Roman" w:eastAsia="Times New Roman" w:hAnsi="Times New Roman"/>
          <w:i w:val="false"/>
          <w:iCs w:val="false"/>
          <w:sz w:val="22"/>
          <w:szCs w:val="22"/>
        </w:rPr>
        <w:t xml:space="preserve">. Corrige de quebra o defeito de extração do artigo atual ("Parágrafo Único" grudado no caput). Mesma adaptação de alcance do Bloco 12 se ficar na Parte Geral.</w:t>
      </w:r>
    </w:p>
    <w:p>
      <w:pPr>
        <w:spacing w:after="80" w:before="200"/>
      </w:pPr>
      <w:r>
        <w:rPr>
          <w:rFonts w:ascii="Times New Roman" w:cs="Times New Roman" w:eastAsia="Times New Roman" w:hAnsi="Times New Roman"/>
          <w:b/>
          <w:bCs/>
          <w:i/>
          <w:iCs/>
          <w:sz w:val="22"/>
          <w:szCs w:val="22"/>
        </w:rPr>
        <w:t xml:space="preserve">Bloco 14 — Funções do serviço diário (Art. 26; `se-art-4`) — 74 registros</w:t>
      </w:r>
    </w:p>
    <w:p>
      <w:pPr>
        <w:spacing w:after="120" w:line="300"/>
        <w:jc w:val="both"/>
      </w:pPr>
      <w:r>
        <w:rPr>
          <w:rFonts w:ascii="Times New Roman" w:cs="Times New Roman" w:eastAsia="Times New Roman" w:hAnsi="Times New Roman"/>
          <w:i w:val="false"/>
          <w:iCs w:val="false"/>
          <w:sz w:val="22"/>
          <w:szCs w:val="22"/>
        </w:rPr>
        <w:t xml:space="preserve">É o bloco de maior peso e o único que envolve decisão de mérito. O oficial constata que o Art. 26 lista as funções do serviço diário mas o Regulamento não sistematiza as atribuições de cada uma, e propõe uma seção por função (subordinação, área de atuação, atribuições, limites). Redigiu três:</w:t>
      </w:r>
    </w:p>
    <w:p>
      <w:pPr>
        <w:spacing w:after="120" w:line="300"/>
        <w:jc w:val="both"/>
      </w:pPr>
      <w:r>
        <w:rPr>
          <w:rFonts w:ascii="Times New Roman" w:cs="Times New Roman" w:eastAsia="Times New Roman" w:hAnsi="Times New Roman"/>
          <w:b/>
          <w:bCs/>
          <w:i w:val="false"/>
          <w:iCs w:val="false"/>
          <w:sz w:val="22"/>
          <w:szCs w:val="22"/>
        </w:rPr>
        <w:t xml:space="preserve">Superior de Dia</w:t>
      </w:r>
      <w:r>
        <w:rPr>
          <w:rFonts w:ascii="Times New Roman" w:cs="Times New Roman" w:eastAsia="Times New Roman" w:hAnsi="Times New Roman"/>
          <w:i w:val="false"/>
          <w:iCs w:val="false"/>
          <w:sz w:val="22"/>
          <w:szCs w:val="22"/>
        </w:rPr>
        <w:t xml:space="preserve"> (2 artigos, 12 competências). Restringe o serviço "exclusivamente à Capital", em sobreaviso, para Majores e Tenentes-Coronéis. A minuta em consulta diz o contrário: "a área de atuação do Superior de Dia abrange todo o território estadual" (Art. 35), e o texto final fechado em 17/08 põe a coordenação no Subcomandante-Geral.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Superior de Dia estadual ou só da Capital? Recomendação: acolher as 12 competências (valem para qualquer alcance) e deixar o caput (alcance e postos) para o CONDEG. O inciso X (imprensa) converge com o artigo de comunicação social já existente.</w:t>
      </w:r>
    </w:p>
    <w:p>
      <w:pPr>
        <w:spacing w:after="120" w:line="300"/>
        <w:jc w:val="both"/>
      </w:pPr>
      <w:r>
        <w:rPr>
          <w:rFonts w:ascii="Times New Roman" w:cs="Times New Roman" w:eastAsia="Times New Roman" w:hAnsi="Times New Roman"/>
          <w:b/>
          <w:bCs/>
          <w:i w:val="false"/>
          <w:iCs w:val="false"/>
          <w:sz w:val="22"/>
          <w:szCs w:val="22"/>
        </w:rPr>
        <w:t xml:space="preserve">Comandante de Socorro</w:t>
      </w:r>
      <w:r>
        <w:rPr>
          <w:rFonts w:ascii="Times New Roman" w:cs="Times New Roman" w:eastAsia="Times New Roman" w:hAnsi="Times New Roman"/>
          <w:i w:val="false"/>
          <w:iCs w:val="false"/>
          <w:sz w:val="22"/>
          <w:szCs w:val="22"/>
        </w:rPr>
        <w:t xml:space="preserve"> (2 artigos, 20 competências). Também "exclusivamente na Capital, no 1º GBM", de Aspirante a Capitão. Contradiz os Arts. 44 e 46 da minuta (serviço no quartel de cada OBM) e o Art. 43 (só subalternos e Aspirantes).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sobre postos; quanto ao alcance, recomendação de generalizar a redação para "em cada Organização Bombeiro Militar, no âmbito da respectiva Unidade", porque o serviço existe no interior. As 20 competências são boas e trazem novidades úteis: visitar militares hospitalizados (XVI), acompanhar militar detido ou conduzido perante autoridade policial (XVII — conferir com a Corregedoria a extensão a militares da reserva), acionar o Plano de Chamada (XIX).</w:t>
      </w:r>
    </w:p>
    <w:p>
      <w:pPr>
        <w:spacing w:after="120" w:line="300"/>
        <w:jc w:val="both"/>
      </w:pPr>
      <w:r>
        <w:rPr>
          <w:rFonts w:ascii="Times New Roman" w:cs="Times New Roman" w:eastAsia="Times New Roman" w:hAnsi="Times New Roman"/>
          <w:b/>
          <w:bCs/>
          <w:i w:val="false"/>
          <w:iCs w:val="false"/>
          <w:sz w:val="22"/>
          <w:szCs w:val="22"/>
        </w:rPr>
        <w:t xml:space="preserve">Oficial de Dia</w:t>
      </w:r>
      <w:r>
        <w:rPr>
          <w:rFonts w:ascii="Times New Roman" w:cs="Times New Roman" w:eastAsia="Times New Roman" w:hAnsi="Times New Roman"/>
          <w:i w:val="false"/>
          <w:iCs w:val="false"/>
          <w:sz w:val="22"/>
          <w:szCs w:val="22"/>
        </w:rPr>
        <w:t xml:space="preserve"> (2 artigos, 25 competências). Aqui a proposta muda o conceito: o Oficial de Dia passa a ser função interna do Quartel do Comando-Geral (segurança do aquartelamento, guarda, chaves, entrada e saída de pessoas e viaturas, prisões disciplinares, providências em crime militar), e não a função operacional coordenada pelo COB da minuta original. Observação importante: os artigos originais do Oficial de Dia (Arts. 36 a 42) já foram marcados "Excluir" pelo Ten. Tiago em 18/08, então hoje a minuta está sem regramento dessa função — a proposta preenche o vazio. </w:t>
      </w:r>
      <w:r>
        <w:rPr>
          <w:rFonts w:ascii="Times New Roman" w:cs="Times New Roman" w:eastAsia="Times New Roman" w:hAnsi="Times New Roman"/>
          <w:b/>
          <w:bCs/>
          <w:i w:val="false"/>
          <w:iCs w:val="false"/>
          <w:sz w:val="22"/>
          <w:szCs w:val="22"/>
        </w:rPr>
        <w:t xml:space="preserve">DECISÃO</w:t>
      </w:r>
      <w:r>
        <w:rPr>
          <w:rFonts w:ascii="Times New Roman" w:cs="Times New Roman" w:eastAsia="Times New Roman" w:hAnsi="Times New Roman"/>
          <w:i w:val="false"/>
          <w:iCs w:val="false"/>
          <w:sz w:val="22"/>
          <w:szCs w:val="22"/>
        </w:rPr>
        <w:t xml:space="preserve">: adotar o conceito de Oficial de Dia como serviço interno de aquartelamento? Se sim, recomendação de generalizar para "no Quartel do Comando-Geral e nos quartéis das OBMs, conforme escala própria", pois o interior também tem serviço interno. Dois registros chegaram corrompidos (inciso X termina em "rviço;" e inciso XIII está truncado em "durante o se") — pedir ao autor o texto íntegro. Os incisos XXII a XXIV (prisões disciplinares, preservação de local de crime militar, flagrante) pedem conferência da Corregedoria quanto ao CPPM.</w:t>
      </w:r>
    </w:p>
    <w:p>
      <w:pPr>
        <w:spacing w:after="120" w:line="300"/>
        <w:jc w:val="both"/>
      </w:pPr>
      <w:r>
        <w:rPr>
          <w:rFonts w:ascii="Times New Roman" w:cs="Times New Roman" w:eastAsia="Times New Roman" w:hAnsi="Times New Roman"/>
          <w:b/>
          <w:bCs/>
          <w:i w:val="false"/>
          <w:iCs w:val="false"/>
          <w:sz w:val="22"/>
          <w:szCs w:val="22"/>
        </w:rPr>
        <w:t xml:space="preserve">Lacuna</w:t>
      </w:r>
      <w:r>
        <w:rPr>
          <w:rFonts w:ascii="Times New Roman" w:cs="Times New Roman" w:eastAsia="Times New Roman" w:hAnsi="Times New Roman"/>
          <w:i w:val="false"/>
          <w:iCs w:val="false"/>
          <w:sz w:val="22"/>
          <w:szCs w:val="22"/>
        </w:rPr>
        <w:t xml:space="preserve">: das 13 funções do Art. 26, o oficial redigiu 3. Faltam Comandante de Área, Adjunto ao Oficial de Dia, Comandante de Guarnição, Condutor e Operador de Viaturas, Auxiliares, Operador de Rádio, Comandante e Auxiliar da Guarda do Quartel, Socorristas e Permanência. Sugestão: o COB completa no mesmo padrão, aproveitando o RISD de Sergipe e o RISG do Exército, que já estão no Subsídio do portal lado a lado com cada artigo.</w:t>
      </w:r>
    </w:p>
    <w:p>
      <w:pPr>
        <w:spacing w:after="120" w:before="280"/>
      </w:pPr>
      <w:r>
        <w:rPr>
          <w:rFonts w:ascii="Times New Roman" w:cs="Times New Roman" w:eastAsia="Times New Roman" w:hAnsi="Times New Roman"/>
          <w:b/>
          <w:bCs/>
          <w:sz w:val="24"/>
          <w:szCs w:val="24"/>
        </w:rPr>
        <w:t xml:space="preserve">3. Registros da equipe de curadoria — situação em 11/09</w:t>
      </w:r>
    </w:p>
    <w:p>
      <w:pPr>
        <w:spacing w:after="120" w:line="300"/>
        <w:jc w:val="both"/>
      </w:pPr>
      <w:r>
        <w:rPr>
          <w:rFonts w:ascii="Times New Roman" w:cs="Times New Roman" w:eastAsia="Times New Roman" w:hAnsi="Times New Roman"/>
          <w:i w:val="false"/>
          <w:iCs w:val="false"/>
          <w:sz w:val="22"/>
          <w:szCs w:val="22"/>
        </w:rPr>
        <w:t xml:space="preserve">Os 51 registros do Ten. Tiago e do Wândrio são os mesmos conferidos em 18/08 (documento "Conferência das 71 sugestões"). Todos os dispositivos que eles comentaram estão hoje com texto final "fechado" no portal. Três observações sobre esses fechamentos, porque afetam o que o participante e o .docx mostram:</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44 fechamentos sem texto</w:t>
      </w:r>
      <w:r>
        <w:rPr>
          <w:rFonts w:ascii="Times New Roman" w:cs="Times New Roman" w:eastAsia="Times New Roman" w:hAnsi="Times New Roman"/>
          <w:i w:val="false"/>
          <w:iCs w:val="false"/>
          <w:sz w:val="22"/>
          <w:szCs w:val="22"/>
        </w:rPr>
        <w:t xml:space="preserve"> no recorte (o botão "Salvar e fechar" foi usado com a caixa vazia). O portal aplica texto vazio como caput, isto é, o Wizard e o .docx oficial exibem o artigo em branco. Nos .docx anexos tratei "fechado sem texto" como "conferido, texto original mantido". Sugestão de produto: distinguir "resolvido sem alteração" de "texto final", ou preencher o campo.</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13 fechamentos com a palavra "Excluir"</w:t>
      </w:r>
      <w:r>
        <w:rPr>
          <w:rFonts w:ascii="Times New Roman" w:cs="Times New Roman" w:eastAsia="Times New Roman" w:hAnsi="Times New Roman"/>
          <w:i w:val="false"/>
          <w:iCs w:val="false"/>
          <w:sz w:val="22"/>
          <w:szCs w:val="22"/>
        </w:rPr>
        <w:t xml:space="preserve"> (Arts. 36, 40, 41, 42, 50 a 53 da versão em consulta, entre outros). O portal mostra literalmente "Excluir" como caput. Nos anexos aparecem como "dispositivo suprimido". Para a consolidação, a supressão precisa ser feita no gerador (</w:t>
      </w:r>
      <w:r>
        <w:rPr>
          <w:rFonts w:ascii="Times New Roman" w:cs="Times New Roman" w:eastAsia="Times New Roman" w:hAnsi="Times New Roman"/>
          <w:i/>
          <w:iCs/>
          <w:sz w:val="22"/>
          <w:szCs w:val="22"/>
        </w:rPr>
        <w:t xml:space="preserve">REMOVER_ARTIGOS</w:t>
      </w:r>
      <w:r>
        <w:rPr>
          <w:rFonts w:ascii="Times New Roman" w:cs="Times New Roman" w:eastAsia="Times New Roman" w:hAnsi="Times New Roman"/>
          <w:i w:val="false"/>
          <w:iCs w:val="false"/>
          <w:sz w:val="22"/>
          <w:szCs w:val="22"/>
        </w:rPr>
        <w:t xml:space="preserve"> em </w:t>
      </w:r>
      <w:r>
        <w:rPr>
          <w:rFonts w:ascii="Times New Roman" w:cs="Times New Roman" w:eastAsia="Times New Roman" w:hAnsi="Times New Roman"/>
          <w:i/>
          <w:iCs/>
          <w:sz w:val="22"/>
          <w:szCs w:val="22"/>
        </w:rPr>
        <w:t xml:space="preserve">scripts/regulamento_reescrita.py</w:t>
      </w:r>
      <w:r>
        <w:rPr>
          <w:rFonts w:ascii="Times New Roman" w:cs="Times New Roman" w:eastAsia="Times New Roman" w:hAnsi="Times New Roman"/>
          <w:i w:val="false"/>
          <w:iCs w:val="false"/>
          <w:sz w:val="22"/>
          <w:szCs w:val="22"/>
        </w:rPr>
        <w:t xml:space="preserve">), não só no texto final.</w:t>
      </w:r>
    </w:p>
    <w:p>
      <w:pPr>
        <w:spacing w:after="60" w:line="300"/>
        <w:ind w:left="36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1 comentário salvo como texto final</w:t>
      </w:r>
      <w:r>
        <w:rPr>
          <w:rFonts w:ascii="Times New Roman" w:cs="Times New Roman" w:eastAsia="Times New Roman" w:hAnsi="Times New Roman"/>
          <w:i w:val="false"/>
          <w:iCs w:val="false"/>
          <w:sz w:val="22"/>
          <w:szCs w:val="22"/>
        </w:rPr>
        <w:t xml:space="preserve">: Art. 34 (</w:t>
      </w:r>
      <w:r>
        <w:rPr>
          <w:rFonts w:ascii="Times New Roman" w:cs="Times New Roman" w:eastAsia="Times New Roman" w:hAnsi="Times New Roman"/>
          <w:i/>
          <w:iCs/>
          <w:sz w:val="22"/>
          <w:szCs w:val="22"/>
        </w:rPr>
        <w:t xml:space="preserve">se-art-30</w:t>
      </w:r>
      <w:r>
        <w:rPr>
          <w:rFonts w:ascii="Times New Roman" w:cs="Times New Roman" w:eastAsia="Times New Roman" w:hAnsi="Times New Roman"/>
          <w:i w:val="false"/>
          <w:iCs w:val="false"/>
          <w:sz w:val="22"/>
          <w:szCs w:val="22"/>
        </w:rPr>
        <w:t xml:space="preserve">) tem como texto final "Artigo em duplicidade com o Art. 10", que é a anotação, não a redação. Corrigir no portal (suprimir ou redigir).</w:t>
      </w:r>
    </w:p>
    <w:p>
      <w:pPr>
        <w:spacing w:after="120" w:line="300"/>
        <w:jc w:val="both"/>
      </w:pPr>
      <w:r>
        <w:rPr>
          <w:rFonts w:ascii="Times New Roman" w:cs="Times New Roman" w:eastAsia="Times New Roman" w:hAnsi="Times New Roman"/>
          <w:i w:val="false"/>
          <w:iCs w:val="false"/>
          <w:sz w:val="22"/>
          <w:szCs w:val="22"/>
        </w:rPr>
        <w:t xml:space="preserve">Das 45 sugestões que ficaram pendentes em 18/08, 8 foram efetivamente redigidas (Art. 27 incisos, Arts. 28 a 33) e as demais foram fechadas sem texto; ou seja, os pontos de mérito listados naquele documento (bloco do Art. 77 sobre SAMU/GOA no interior, Art. 69 sobre perícia de trânsito, "a quem compete") foram encerrados sem redação registrada. Vale confirmar se foram decididos ou apenas arquivados.</w:t>
      </w:r>
    </w:p>
    <w:p>
      <w:pPr>
        <w:spacing w:after="120" w:before="280"/>
      </w:pPr>
      <w:r>
        <w:rPr>
          <w:rFonts w:ascii="Times New Roman" w:cs="Times New Roman" w:eastAsia="Times New Roman" w:hAnsi="Times New Roman"/>
          <w:b/>
          <w:bCs/>
          <w:sz w:val="24"/>
          <w:szCs w:val="24"/>
        </w:rPr>
        <w:t xml:space="preserve">4. Convergência com a estrutura em Parte Geral e Parte Especial</w:t>
      </w:r>
    </w:p>
    <w:p>
      <w:pPr>
        <w:spacing w:after="120" w:line="300"/>
        <w:jc w:val="both"/>
      </w:pPr>
      <w:r>
        <w:rPr>
          <w:rFonts w:ascii="Times New Roman" w:cs="Times New Roman" w:eastAsia="Times New Roman" w:hAnsi="Times New Roman"/>
          <w:i w:val="false"/>
          <w:iCs w:val="false"/>
          <w:sz w:val="22"/>
          <w:szCs w:val="22"/>
        </w:rPr>
        <w:t xml:space="preserve">A estrutura em Parte Geral e Parte Especial e as sugestões dispositivo a dispositivo vêm do mesmo oficial, e se completam: a proposta de "uma seção por função, com subordinação, área e atribuições" é exatamente o que a Parte Especial da minuta reestruturada faz no Título I (Serviço Operacional), que já tem capítulos "Do Superior de Dia", "Do Oficial de Dia" e "Do Comandante de Socorro". Hoje esses capítulos só têm regime e escala; os artigos "Compete ao…" do Bloco 14 são o que falta neles. Posição de cada bloco na minuta reestruturada: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Bloco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Onde entra na versão reestruturada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 (competências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Cap.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12 e 13 (objetivos e política)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Cap. II — com alcance ampliado aos dois serviços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 a 9 (COB, Adjunto e Seções)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 — Das funções do COB</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10 e 11 (GBM e SGBM)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 mais artigos novos para Subcomandante, Auxiliares e B1 a B6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III</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IV (se adotado como serviço interno, avaliar mover para junto do Cap. VII, rotina das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 —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V</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Funções faltantes do Art. 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Título I, Cap. VI — Das demais funções de serviço nas unidades</w:t>
            </w:r>
          </w:p>
        </w:tc>
      </w:tr>
    </w:tbl>
    <w:p>
      <w:pPr>
        <w:spacing w:after="120"/>
      </w:pPr>
    </w:p>
    <w:p>
      <w:pPr>
        <w:spacing w:after="120" w:line="300"/>
        <w:jc w:val="both"/>
      </w:pPr>
      <w:r>
        <w:rPr>
          <w:rFonts w:ascii="Times New Roman" w:cs="Times New Roman" w:eastAsia="Times New Roman" w:hAnsi="Times New Roman"/>
          <w:i w:val="false"/>
          <w:iCs w:val="false"/>
          <w:sz w:val="22"/>
          <w:szCs w:val="22"/>
        </w:rPr>
        <w:t xml:space="preserve">Nada da consulta toca o Título II (Serviço Técnico) nem os capítulos de viaturas, material e comunicação social da Parte Geral.</w:t>
      </w:r>
    </w:p>
    <w:p>
      <w:pPr>
        <w:spacing w:after="120" w:before="280"/>
      </w:pPr>
      <w:r>
        <w:rPr>
          <w:rFonts w:ascii="Times New Roman" w:cs="Times New Roman" w:eastAsia="Times New Roman" w:hAnsi="Times New Roman"/>
          <w:b/>
          <w:bCs/>
          <w:sz w:val="24"/>
          <w:szCs w:val="24"/>
        </w:rPr>
        <w:t xml:space="preserve">5. Proposta de aplicação, em ordem</w:t>
      </w:r>
    </w:p>
    <w:p>
      <w:pPr>
        <w:spacing w:after="60" w:line="300"/>
        <w:ind w:left="360" w:hanging="300"/>
        <w:jc w:val="both"/>
      </w:pPr>
      <w:r>
        <w:rPr>
          <w:rFonts w:ascii="Times New Roman" w:cs="Times New Roman" w:eastAsia="Times New Roman" w:hAnsi="Times New Roman"/>
          <w:i w:val="false"/>
          <w:iCs w:val="false"/>
          <w:sz w:val="22"/>
          <w:szCs w:val="22"/>
        </w:rPr>
        <w:t xml:space="preserve">1. </w:t>
      </w:r>
      <w:r>
        <w:rPr>
          <w:rFonts w:ascii="Times New Roman" w:cs="Times New Roman" w:eastAsia="Times New Roman" w:hAnsi="Times New Roman"/>
          <w:b/>
          <w:bCs/>
          <w:i w:val="false"/>
          <w:iCs w:val="false"/>
          <w:sz w:val="22"/>
          <w:szCs w:val="22"/>
        </w:rPr>
        <w:t xml:space="preserve">Decisões a submeter ao CONDEG (ou ao Comando)</w:t>
      </w:r>
      <w:r>
        <w:rPr>
          <w:rFonts w:ascii="Times New Roman" w:cs="Times New Roman" w:eastAsia="Times New Roman" w:hAnsi="Times New Roman"/>
          <w:i w:val="false"/>
          <w:iCs w:val="false"/>
          <w:sz w:val="22"/>
          <w:szCs w:val="22"/>
        </w:rPr>
        <w:t xml:space="preserve"> antes de qualquer redação:</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Superior de Dia: alcance estadual (minuta atual) ou só Capital (proposta)? Postos que concorrem?</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Comandante de Socorro: em cada OBM (minuta) ou só 1º GBM (proposta)? Incluir Capitães?</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Oficial de Dia: função interna de aquartelamento (proposta) ou função operacional (minuta original, hoje suprimida)? Só no QCG ou em todos os quartéis?</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Competências do CBMRO: transcrever o art. 2º da LOB (recomendado) ou só remeter?</w:t>
      </w:r>
    </w:p>
    <w:p>
      <w:pPr>
        <w:spacing w:after="60" w:line="300"/>
        <w:ind w:left="720" w:hanging="240"/>
        <w:jc w:val="both"/>
      </w:pPr>
      <w:r>
        <w:rPr>
          <w:rFonts w:ascii="Times New Roman" w:cs="Times New Roman" w:eastAsia="Times New Roman" w:hAnsi="Times New Roman"/>
          <w:sz w:val="22"/>
          <w:szCs w:val="22"/>
        </w:rPr>
        <w:t xml:space="preserve">• </w:t>
      </w:r>
      <w:r>
        <w:rPr>
          <w:rFonts w:ascii="Times New Roman" w:cs="Times New Roman" w:eastAsia="Times New Roman" w:hAnsi="Times New Roman"/>
          <w:i w:val="false"/>
          <w:iCs w:val="false"/>
          <w:sz w:val="22"/>
          <w:szCs w:val="22"/>
        </w:rPr>
        <w:t xml:space="preserve">Adotar a estrutura em Parte Geral e Parte Especial (sugestão do Cel. Luiz Eduardo) como base da 2ª versão.</w:t>
      </w:r>
    </w:p>
    <w:p>
      <w:pPr>
        <w:spacing w:after="60" w:line="300"/>
        <w:ind w:left="360" w:hanging="300"/>
        <w:jc w:val="both"/>
      </w:pPr>
      <w:r>
        <w:rPr>
          <w:rFonts w:ascii="Times New Roman" w:cs="Times New Roman" w:eastAsia="Times New Roman" w:hAnsi="Times New Roman"/>
          <w:i w:val="false"/>
          <w:iCs w:val="false"/>
          <w:sz w:val="22"/>
          <w:szCs w:val="22"/>
        </w:rPr>
        <w:t xml:space="preserve">2. </w:t>
      </w:r>
      <w:r>
        <w:rPr>
          <w:rFonts w:ascii="Times New Roman" w:cs="Times New Roman" w:eastAsia="Times New Roman" w:hAnsi="Times New Roman"/>
          <w:b/>
          <w:bCs/>
          <w:i w:val="false"/>
          <w:iCs w:val="false"/>
          <w:sz w:val="22"/>
          <w:szCs w:val="22"/>
        </w:rPr>
        <w:t xml:space="preserve">Aplicação direta</w:t>
      </w:r>
      <w:r>
        <w:rPr>
          <w:rFonts w:ascii="Times New Roman" w:cs="Times New Roman" w:eastAsia="Times New Roman" w:hAnsi="Times New Roman"/>
          <w:i w:val="false"/>
          <w:iCs w:val="false"/>
          <w:sz w:val="22"/>
          <w:szCs w:val="22"/>
        </w:rPr>
        <w:t xml:space="preserve"> (sem decisão pendente, só forma): Blocos 1, 3, 5, 6, 7, 8, 12 e 13 — substituir os artigos correspondentes em </w:t>
      </w:r>
      <w:r>
        <w:rPr>
          <w:rFonts w:ascii="Times New Roman" w:cs="Times New Roman" w:eastAsia="Times New Roman" w:hAnsi="Times New Roman"/>
          <w:i/>
          <w:iCs/>
          <w:sz w:val="22"/>
          <w:szCs w:val="22"/>
        </w:rPr>
        <w:t xml:space="preserve">ARTIGOS_PROPRIOS</w:t>
      </w:r>
      <w:r>
        <w:rPr>
          <w:rFonts w:ascii="Times New Roman" w:cs="Times New Roman" w:eastAsia="Times New Roman" w:hAnsi="Times New Roman"/>
          <w:i w:val="false"/>
          <w:iCs w:val="false"/>
          <w:sz w:val="22"/>
          <w:szCs w:val="22"/>
        </w:rPr>
        <w:t xml:space="preserve"> de </w:t>
      </w:r>
      <w:r>
        <w:rPr>
          <w:rFonts w:ascii="Times New Roman" w:cs="Times New Roman" w:eastAsia="Times New Roman" w:hAnsi="Times New Roman"/>
          <w:i/>
          <w:iCs/>
          <w:sz w:val="22"/>
          <w:szCs w:val="22"/>
        </w:rPr>
        <w:t xml:space="preserve">scripts/regulamento_reescrita.py</w:t>
      </w:r>
      <w:r>
        <w:rPr>
          <w:rFonts w:ascii="Times New Roman" w:cs="Times New Roman" w:eastAsia="Times New Roman" w:hAnsi="Times New Roman"/>
          <w:i w:val="false"/>
          <w:iCs w:val="false"/>
          <w:sz w:val="22"/>
          <w:szCs w:val="22"/>
        </w:rPr>
        <w:t xml:space="preserve"> e regerar a estrutura.</w:t>
      </w:r>
    </w:p>
    <w:p>
      <w:pPr>
        <w:spacing w:after="60" w:line="300"/>
        <w:ind w:left="360" w:hanging="300"/>
        <w:jc w:val="both"/>
      </w:pPr>
      <w:r>
        <w:rPr>
          <w:rFonts w:ascii="Times New Roman" w:cs="Times New Roman" w:eastAsia="Times New Roman" w:hAnsi="Times New Roman"/>
          <w:i w:val="false"/>
          <w:iCs w:val="false"/>
          <w:sz w:val="22"/>
          <w:szCs w:val="22"/>
        </w:rPr>
        <w:t xml:space="preserve">3. </w:t>
      </w:r>
      <w:r>
        <w:rPr>
          <w:rFonts w:ascii="Times New Roman" w:cs="Times New Roman" w:eastAsia="Times New Roman" w:hAnsi="Times New Roman"/>
          <w:b/>
          <w:bCs/>
          <w:i w:val="false"/>
          <w:iCs w:val="false"/>
          <w:sz w:val="22"/>
          <w:szCs w:val="22"/>
        </w:rPr>
        <w:t xml:space="preserve">Aplicação após conferência objetiva</w:t>
      </w:r>
      <w:r>
        <w:rPr>
          <w:rFonts w:ascii="Times New Roman" w:cs="Times New Roman" w:eastAsia="Times New Roman" w:hAnsi="Times New Roman"/>
          <w:i w:val="false"/>
          <w:iCs w:val="false"/>
          <w:sz w:val="22"/>
          <w:szCs w:val="22"/>
        </w:rPr>
        <w:t xml:space="preserve">: Blocos 2 e 4 (Decreto nº 8.134/1997), Bloco 9 (rotina de armamento na ARI), Bloco 14 — Comandante de Socorro inciso XVII e Oficial de Dia incisos XXII a XXIV (Corregedoria), e os dois incisos corrompidos (pedir ao autor).</w:t>
      </w:r>
    </w:p>
    <w:p>
      <w:pPr>
        <w:spacing w:after="60" w:line="300"/>
        <w:ind w:left="360" w:hanging="300"/>
        <w:jc w:val="both"/>
      </w:pPr>
      <w:r>
        <w:rPr>
          <w:rFonts w:ascii="Times New Roman" w:cs="Times New Roman" w:eastAsia="Times New Roman" w:hAnsi="Times New Roman"/>
          <w:i w:val="false"/>
          <w:iCs w:val="false"/>
          <w:sz w:val="22"/>
          <w:szCs w:val="22"/>
        </w:rPr>
        <w:t xml:space="preserve">4. </w:t>
      </w:r>
      <w:r>
        <w:rPr>
          <w:rFonts w:ascii="Times New Roman" w:cs="Times New Roman" w:eastAsia="Times New Roman" w:hAnsi="Times New Roman"/>
          <w:b/>
          <w:bCs/>
          <w:i w:val="false"/>
          <w:iCs w:val="false"/>
          <w:sz w:val="22"/>
          <w:szCs w:val="22"/>
        </w:rPr>
        <w:t xml:space="preserve">Redação nova</w:t>
      </w:r>
      <w:r>
        <w:rPr>
          <w:rFonts w:ascii="Times New Roman" w:cs="Times New Roman" w:eastAsia="Times New Roman" w:hAnsi="Times New Roman"/>
          <w:i w:val="false"/>
          <w:iCs w:val="false"/>
          <w:sz w:val="22"/>
          <w:szCs w:val="22"/>
        </w:rPr>
        <w:t xml:space="preserve">: artigos do Subcomandante, Auxiliares e B1 a B6 do GBM; Subcomandante e Auxiliares do SGBM; as 10 funções do Art. 26 que ficaram sem seção. Encarregar o COB, com o Subsídio do portal como base.</w:t>
      </w:r>
    </w:p>
    <w:p>
      <w:pPr>
        <w:spacing w:after="60" w:line="300"/>
        <w:ind w:left="360" w:hanging="300"/>
        <w:jc w:val="both"/>
      </w:pPr>
      <w:r>
        <w:rPr>
          <w:rFonts w:ascii="Times New Roman" w:cs="Times New Roman" w:eastAsia="Times New Roman" w:hAnsi="Times New Roman"/>
          <w:i w:val="false"/>
          <w:iCs w:val="false"/>
          <w:sz w:val="22"/>
          <w:szCs w:val="22"/>
        </w:rPr>
        <w:t xml:space="preserve">5. </w:t>
      </w:r>
      <w:r>
        <w:rPr>
          <w:rFonts w:ascii="Times New Roman" w:cs="Times New Roman" w:eastAsia="Times New Roman" w:hAnsi="Times New Roman"/>
          <w:b/>
          <w:bCs/>
          <w:i w:val="false"/>
          <w:iCs w:val="false"/>
          <w:sz w:val="22"/>
          <w:szCs w:val="22"/>
        </w:rPr>
        <w:t xml:space="preserve">Saneamento dos textos finais no portal</w:t>
      </w:r>
      <w:r>
        <w:rPr>
          <w:rFonts w:ascii="Times New Roman" w:cs="Times New Roman" w:eastAsia="Times New Roman" w:hAnsi="Times New Roman"/>
          <w:i w:val="false"/>
          <w:iCs w:val="false"/>
          <w:sz w:val="22"/>
          <w:szCs w:val="22"/>
        </w:rPr>
        <w:t xml:space="preserve">: preencher ou reclassificar os 44 fechamentos vazios; converter os 13 "Excluir" em supressão no gerador; corrigir o Art. 34.</w:t>
      </w:r>
    </w:p>
    <w:p>
      <w:pPr>
        <w:spacing w:after="60" w:line="300"/>
        <w:ind w:left="360" w:hanging="300"/>
        <w:jc w:val="both"/>
      </w:pPr>
      <w:r>
        <w:rPr>
          <w:rFonts w:ascii="Times New Roman" w:cs="Times New Roman" w:eastAsia="Times New Roman" w:hAnsi="Times New Roman"/>
          <w:i w:val="false"/>
          <w:iCs w:val="false"/>
          <w:sz w:val="22"/>
          <w:szCs w:val="22"/>
        </w:rPr>
        <w:t xml:space="preserve">6. </w:t>
      </w:r>
      <w:r>
        <w:rPr>
          <w:rFonts w:ascii="Times New Roman" w:cs="Times New Roman" w:eastAsia="Times New Roman" w:hAnsi="Times New Roman"/>
          <w:b/>
          <w:bCs/>
          <w:i w:val="false"/>
          <w:iCs w:val="false"/>
          <w:sz w:val="22"/>
          <w:szCs w:val="22"/>
        </w:rPr>
        <w:t xml:space="preserve">Serviço técnico</w:t>
      </w:r>
      <w:r>
        <w:rPr>
          <w:rFonts w:ascii="Times New Roman" w:cs="Times New Roman" w:eastAsia="Times New Roman" w:hAnsi="Times New Roman"/>
          <w:i w:val="false"/>
          <w:iCs w:val="false"/>
          <w:sz w:val="22"/>
          <w:szCs w:val="22"/>
        </w:rPr>
        <w:t xml:space="preserve">: reabrir prazo curto e dirigido à CAT (cinco integrantes já cadastrados), com pedido explícito de leitura do Título II; sem isso a 2ª versão sai sem validação da área.</w:t>
      </w:r>
    </w:p>
    <w:p>
      <w:pPr>
        <w:spacing w:after="60" w:line="300"/>
        <w:ind w:left="360" w:hanging="300"/>
        <w:jc w:val="both"/>
      </w:pPr>
      <w:r>
        <w:rPr>
          <w:rFonts w:ascii="Times New Roman" w:cs="Times New Roman" w:eastAsia="Times New Roman" w:hAnsi="Times New Roman"/>
          <w:i w:val="false"/>
          <w:iCs w:val="false"/>
          <w:sz w:val="22"/>
          <w:szCs w:val="22"/>
        </w:rPr>
        <w:t xml:space="preserve">7. </w:t>
      </w:r>
      <w:r>
        <w:rPr>
          <w:rFonts w:ascii="Times New Roman" w:cs="Times New Roman" w:eastAsia="Times New Roman" w:hAnsi="Times New Roman"/>
          <w:b/>
          <w:bCs/>
          <w:i w:val="false"/>
          <w:iCs w:val="false"/>
          <w:sz w:val="22"/>
          <w:szCs w:val="22"/>
        </w:rPr>
        <w:t xml:space="preserve">Higiene de cadastro</w:t>
      </w:r>
      <w:r>
        <w:rPr>
          <w:rFonts w:ascii="Times New Roman" w:cs="Times New Roman" w:eastAsia="Times New Roman" w:hAnsi="Times New Roman"/>
          <w:i w:val="false"/>
          <w:iCs w:val="false"/>
          <w:sz w:val="22"/>
          <w:szCs w:val="22"/>
        </w:rPr>
        <w:t xml:space="preserve">: excluir a sugestão de teste do Wândrio (Art. 1º) e a conta "Teste Participante"; unificar as duas contas do Cel. Luiz Eduardo; aprovar ou recusar o cadastro pendente do 2º GBM.</w:t>
      </w:r>
    </w:p>
    <w:p>
      <w:pPr>
        <w:spacing w:after="120" w:before="280"/>
      </w:pPr>
      <w:r>
        <w:rPr>
          <w:rFonts w:ascii="Times New Roman" w:cs="Times New Roman" w:eastAsia="Times New Roman" w:hAnsi="Times New Roman"/>
          <w:b/>
          <w:bCs/>
          <w:sz w:val="24"/>
          <w:szCs w:val="24"/>
        </w:rPr>
        <w:t xml:space="preserve">6. Reconhecimento</w:t>
      </w:r>
    </w:p>
    <w:p>
      <w:pPr>
        <w:spacing w:after="120" w:line="300"/>
        <w:jc w:val="both"/>
      </w:pPr>
      <w:r>
        <w:rPr>
          <w:rFonts w:ascii="Times New Roman" w:cs="Times New Roman" w:eastAsia="Times New Roman" w:hAnsi="Times New Roman"/>
          <w:i w:val="false"/>
          <w:iCs w:val="false"/>
          <w:sz w:val="22"/>
          <w:szCs w:val="22"/>
        </w:rPr>
        <w:t xml:space="preserve">Registre-se, para o SEI, que a contribuição do Cel. BM Luiz Eduardo Oliveira Firmino equivale à redação de um capítulo inteiro de atribuições (cerca de 180 incisos novos, conferidos contra a Lei nº 2.204/2009 nos pontos em que transcreve a lei), que ela dialoga diretamente com a pendência da cadeia de comando dos Grupamentos já identificada pela equipe, e que a estrutura em Parte Geral e Parte Especial, sugerida pelo mesmo oficial, é o encaixe natural desses artigos.</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Análise das interações da consulta e proposta de aplicação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2026-09-14T13:32:59.983Z</dcterms:created>
  <dcterms:modified xsi:type="dcterms:W3CDTF">2026-09-14T13:32:59.984Z</dcterms:modified>
</cp:coreProperties>
</file>

<file path=docProps/custom.xml><?xml version="1.0" encoding="utf-8"?>
<Properties xmlns="http://schemas.openxmlformats.org/officeDocument/2006/custom-properties" xmlns:vt="http://schemas.openxmlformats.org/officeDocument/2006/docPropsVTypes"/>
</file>