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como foi disponibilizada aos militares; a da direita, a versão atual, produzida após a consulta (revisão de texto da curadoria e sugestões recebidas). Os dispositivos suprimidos pela curadoria não constam de nenhuma das colunas. Resumo: 62 artigos sem alteração, 23 com correção de texto (grafia, concordância, resíduos de extração, nomenclatura), 28 com texto alterado, 15 reescritos e 6 incluídos; 0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120→Art. 127, Art. 121→Art. 128, Art. 122→Art. 129, Art. 123→Art. 131, Art. 124→Art. 132,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110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via Sistema Eletrônico de Informações - SEI, a permuta de escala do serviço de Oficial de Dia;</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112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114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115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116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117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118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119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35→Art. 41, Art. 41→Art. 47, Art. 42→Art. 48, Art. 43→Art. 49, Art. 44→Art. 50, Art. 45→Art. 51, Art. 46→Art. 52, Art. 47→Art. 53, Art. 48→Art. 54, Art. 49→Art. 55, Art. 51→Art. 57, Art. 54→Art. 60, Art. 56→Art. 62, Art. 110→Art. 117, Art. 111→Art. 118.</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Objetivos generalizados em 15/09/2026 para alcançar também o serviço técnico (a Parte I da minuta publicável é comum aos dois serviços); inciso X acrescido. Texto de partida sugerido na consulta (RISD).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e técnicas,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órgãos do Sistema de Segurança Contra Incêndio e Pânico e demais frações da Corporação;</w:t>
            </w:r>
          </w:p>
          <w:p>
            <w:pPr>
              <w:spacing w:after="0"/>
            </w:pPr>
            <w:r>
              <w:rPr>
                <w:rFonts w:ascii="Times New Roman" w:cs="Times New Roman" w:eastAsia="Times New Roman" w:hAnsi="Times New Roman"/>
                <w:b w:val="false"/>
                <w:bCs w:val="false"/>
                <w:sz w:val="20"/>
                <w:szCs w:val="20"/>
              </w:rPr>
              <w:t xml:space="preserve">V - adequar a atuação das Organizações Bombeiro Militar e dos órgãos de atividades técnicas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técnicos e administrativos diretamente relacionados à execução dos serviços de que trata este Regulamento;</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e técnicas, buscando o adequado emprego dos recursos humanos e materiais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0"/>
            </w:pPr>
            <w:r>
              <w:rPr>
                <w:rFonts w:ascii="Times New Roman" w:cs="Times New Roman" w:eastAsia="Times New Roman" w:hAnsi="Times New Roman"/>
                <w:b w:val="false"/>
                <w:bCs w:val="false"/>
                <w:sz w:val="20"/>
                <w:szCs w:val="20"/>
              </w:rPr>
              <w:t xml:space="preserve">X - uniformizar os procedimentos de análise de projetos, vistoria, fiscalização e demais atividades de segurança contra incêndio e pânico, nos termos da legislação estadual e das Instruções Técnicas.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 e</w:t>
            </w:r>
          </w:p>
          <w:p>
            <w:pPr>
              <w:spacing w:after="0"/>
            </w:pPr>
            <w:r>
              <w:rPr>
                <w:rFonts w:ascii="Times New Roman" w:cs="Times New Roman" w:eastAsia="Times New Roman" w:hAnsi="Times New Roman"/>
                <w:b w:val="false"/>
                <w:bCs w:val="false"/>
                <w:sz w:val="20"/>
                <w:szCs w:val="20"/>
              </w:rPr>
              <w:t xml:space="preserve">VII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w:t>
            </w:r>
          </w:p>
          <w:p>
            <w:pPr>
              <w:spacing w:after="0"/>
            </w:pPr>
            <w:r>
              <w:rPr>
                <w:rFonts w:ascii="Times New Roman" w:cs="Times New Roman" w:eastAsia="Times New Roman" w:hAnsi="Times New Roman"/>
                <w:b w:val="false"/>
                <w:bCs w:val="false"/>
                <w:sz w:val="20"/>
                <w:szCs w:val="20"/>
              </w:rPr>
              <w:t xml:space="preserve">VII - permanência; e</w:t>
            </w:r>
          </w:p>
          <w:p>
            <w:pPr>
              <w:spacing w:after="0"/>
            </w:pPr>
            <w:r>
              <w:rPr>
                <w:rFonts w:ascii="Times New Roman" w:cs="Times New Roman" w:eastAsia="Times New Roman" w:hAnsi="Times New Roman"/>
                <w:b w:val="false"/>
                <w:bCs w:val="false"/>
                <w:sz w:val="20"/>
                <w:szCs w:val="20"/>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0"/>
            </w:pPr>
            <w:r>
              <w:rPr>
                <w:rFonts w:ascii="Times New Roman" w:cs="Times New Roman" w:eastAsia="Times New Roman" w:hAnsi="Times New Roman"/>
                <w:b w:val="false"/>
                <w:bCs w:val="false"/>
                <w:sz w:val="20"/>
                <w:szCs w:val="20"/>
              </w:rPr>
              <w:t xml:space="preserve">§ 1º Ao final do serviço deverá assinar, via Sistema Eletrônico de Informações -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Boletim Geral por determinação do Comandante-Geral ou pelo Subcomandante-Geral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do COB I,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Comandante do COB I, através do gabinete do Subcomando-Geral.</w:t>
            </w:r>
          </w:p>
          <w:p>
            <w:pPr>
              <w:spacing w:after="0"/>
            </w:pPr>
            <w:r>
              <w:rPr>
                <w:rFonts w:ascii="Times New Roman" w:cs="Times New Roman" w:eastAsia="Times New Roman" w:hAnsi="Times New Roman"/>
                <w:b w:val="false"/>
                <w:bCs w:val="false"/>
                <w:sz w:val="20"/>
                <w:szCs w:val="20"/>
              </w:rPr>
              <w:t xml:space="preserve">Parágrafo único. As escalas serão publicadas em processo eletrônico,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Subcomandante-Geral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36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 15/09/2026: mantido o alcance estadual do Superior de Dia (área de atuação do artigo anterior); o texto de partida sugerido na consulta restringia o serviço à Capital. Postos de Major e Tenente-Coronel conforme a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0"/>
            </w:pPr>
            <w:r>
              <w:rPr>
                <w:rFonts w:ascii="Times New Roman" w:cs="Times New Roman" w:eastAsia="Times New Roman" w:hAnsi="Times New Roman"/>
                <w:b w:val="false"/>
                <w:bCs w:val="false"/>
                <w:sz w:val="20"/>
                <w:szCs w:val="20"/>
              </w:rPr>
              <w:t xml:space="preserve">§ 2º A atuação do Superior de Dia observará as competências próprias do Comando Operacional de Bombeiros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em todo o Estado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no Estado;</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Art. 38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Alcance definido em 15/09/2026: o Oficial de Dia existe só no 1º GBM (Capital) e responde pelo serviço operacional diário e pelo serviço interno; nas demais OBMs o Comandante de Guarnição é o responsável (se-art-4, parágrafo único). Texto de partida sugerido na consulta (serviço interno do QCG).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quartel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quartel,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quartel;</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quartel;</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quartel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quartel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quartel,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Parte Diária, via Sistema Eletrônico de Informações - SEI,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comunicar imediatamente qualquer acidente envolvendo pessoal, viatura, material ou patrimônio ocorrido no âmbito do quartel;</w:t>
            </w:r>
          </w:p>
          <w:p>
            <w:pPr>
              <w:spacing w:after="0"/>
            </w:pPr>
            <w:r>
              <w:rPr>
                <w:rFonts w:ascii="Times New Roman" w:cs="Times New Roman" w:eastAsia="Times New Roman" w:hAnsi="Times New Roman"/>
                <w:b w:val="false"/>
                <w:bCs w:val="false"/>
                <w:sz w:val="20"/>
                <w:szCs w:val="20"/>
              </w:rPr>
              <w:t xml:space="preserve">XX - fiscalizar as condições de conservação, limpeza e organização das dependências do quartel;</w:t>
            </w:r>
          </w:p>
          <w:p>
            <w:pPr>
              <w:spacing w:after="0"/>
            </w:pPr>
            <w:r>
              <w:rPr>
                <w:rFonts w:ascii="Times New Roman" w:cs="Times New Roman" w:eastAsia="Times New Roman" w:hAnsi="Times New Roman"/>
                <w:b w:val="false"/>
                <w:bCs w:val="false"/>
                <w:sz w:val="20"/>
                <w:szCs w:val="20"/>
              </w:rPr>
              <w:t xml:space="preserve">XXI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XXIII - adotar, nas hipóteses de flagrante de crime militar, as providências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XXIV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Art. 42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a sua Unidade Operacional imediatamente após o último dia de gozo.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à sua OBM imediatamente após o último dia de gozo.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37 (consulta) → Art. 43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da Guarnição de Serviço;</w:t>
            </w:r>
          </w:p>
          <w:p>
            <w:pPr>
              <w:spacing w:after="0"/>
            </w:pPr>
            <w:r>
              <w:rPr>
                <w:rFonts w:ascii="Times New Roman" w:cs="Times New Roman" w:eastAsia="Times New Roman" w:hAnsi="Times New Roman"/>
                <w:b w:val="false"/>
                <w:bCs w:val="false"/>
                <w:sz w:val="20"/>
                <w:szCs w:val="20"/>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à Guarnição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a Guarnição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Oficial de Dia/Comandante de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Art. 45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Art. 46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Art. 56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Oficial de Dia;</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52 (consulta) → Art. 58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Unidade Operacional responsável pela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OBM responsável pela área.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53 (consulta) → Art. 59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Art. 61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63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(consulta) → Art. 64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 IML/POLITEC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Coordenadoria Estadual de Proteção e Defesa Civil e a Coordenadoria Municipal de Proteção e Defesa Civil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65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regimento serão divididos em 02 (duas) áreas distintas sendo uma destinada a emergência básica e outra, ao apoio emergencial.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Regulamento deverão seguir os princípios do Sistema de Comando de Incidentes – SCI.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68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112→Art. 119.</w:t>
      </w:r>
    </w:p>
    <w:p>
      <w:pPr>
        <w:spacing w:after="40" w:line="360"/>
        <w:jc w:val="both"/>
      </w:pPr>
      <w:r>
        <w:rPr>
          <w:rFonts w:ascii="Times New Roman" w:cs="Times New Roman" w:eastAsia="Times New Roman" w:hAnsi="Times New Roman"/>
          <w:b/>
          <w:bCs/>
          <w:i w:val="false"/>
          <w:iCs w:val="false"/>
          <w:sz w:val="20"/>
          <w:szCs w:val="20"/>
        </w:rPr>
        <w:t xml:space="preserve">Art. 110 (consulta) → Art. 117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118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120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66→Art. 73, Art. 67→Art. 74, Art. 68→Art. 75, Art. 70→Art. 77, Art. 71→Art. 78, Art. 75→Art. 82, Art. 76→Art. 83, Art. 78→Art. 85, Art. 80→Art. 87, Art. 83→Art. 90, Art. 84→Art. 91, Art. 88→Art. 95, Art. 90→Art. 97, Art. 95→Art. 102, Art. 97→Art. 104, Art. 99→Art. 106, Art. 101→Art. 108, Art. 103→Art. 110, Art. 106→Art. 113, Art. 109→Art. 116.</w:t>
      </w:r>
    </w:p>
    <w:p>
      <w:pPr>
        <w:spacing w:after="40" w:line="360"/>
        <w:jc w:val="both"/>
      </w:pPr>
      <w:r>
        <w:rPr>
          <w:rFonts w:ascii="Times New Roman" w:cs="Times New Roman" w:eastAsia="Times New Roman" w:hAnsi="Times New Roman"/>
          <w:b/>
          <w:bCs/>
          <w:i w:val="false"/>
          <w:iCs w:val="false"/>
          <w:sz w:val="20"/>
          <w:szCs w:val="20"/>
        </w:rPr>
        <w:t xml:space="preserve">Art. 69 (consulta) → Art. 76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Unidade fiscalizar e acompanhar a passagem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OBM fiscalizar e acompanhar a passagem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72 (consulta) → Art. 79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Comandante de Socorro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Comandante de Socorro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Comandante de Socorro que sai comanda: “para os Comandantes de Guarnições, um passo em frente, marche”. Tal ato será também comandado pelo Chefe da Prontidão de Serviço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0"/>
            </w:pPr>
            <w:r>
              <w:rPr>
                <w:rFonts w:ascii="Times New Roman" w:cs="Times New Roman" w:eastAsia="Times New Roman" w:hAnsi="Times New Roman"/>
                <w:b w:val="false"/>
                <w:bCs w:val="false"/>
                <w:sz w:val="20"/>
                <w:szCs w:val="20"/>
              </w:rPr>
              <w:t xml:space="preserve">I - o Oficial de Dia que sai ou, nas demais Organizações Bombeiro Militar, o Comandante do SGBM, posicionado em posição intermediária defronte à tropa, comanda “para passagem de serviço – sentido”;</w:t>
            </w:r>
          </w:p>
          <w:p>
            <w:pPr>
              <w:spacing w:after="0"/>
            </w:pPr>
            <w:r>
              <w:rPr>
                <w:rFonts w:ascii="Times New Roman" w:cs="Times New Roman" w:eastAsia="Times New Roman" w:hAnsi="Times New Roman"/>
                <w:b w:val="false"/>
                <w:bCs w:val="false"/>
                <w:sz w:val="20"/>
                <w:szCs w:val="20"/>
              </w:rPr>
              <w:t xml:space="preserve">II - no 1º Grupamento de Bombeiro Militar, o Oficial de Dia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w:t>
            </w:r>
          </w:p>
          <w:p>
            <w:pPr>
              <w:spacing w:after="0"/>
            </w:pPr>
            <w:r>
              <w:rPr>
                <w:rFonts w:ascii="Times New Roman" w:cs="Times New Roman" w:eastAsia="Times New Roman" w:hAnsi="Times New Roman"/>
                <w:b w:val="false"/>
                <w:bCs w:val="false"/>
                <w:sz w:val="20"/>
                <w:szCs w:val="20"/>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0"/>
            </w:pPr>
            <w:r>
              <w:rPr>
                <w:rFonts w:ascii="Times New Roman" w:cs="Times New Roman" w:eastAsia="Times New Roman" w:hAnsi="Times New Roman"/>
                <w:b w:val="false"/>
                <w:bCs w:val="false"/>
                <w:sz w:val="20"/>
                <w:szCs w:val="20"/>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73 (consulta) → Art. 80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Guarnição de Serviço que entra de serviço deverá obrigatoriamente conferir o material constante na carga da viatura, comunicando as faltas e carências ao Oficial de Dia/Comandante do SGBM.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81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Prontidão de Serviço responsável de dar manutenção em todos os equipamentos deixando-os em perfeitas condições de uso.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Guarnição de Serviço responsável de dar manutenção em todos os equipamentos deixando-os em perfeitas condições de uso.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84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Prontidão qualquer desconhecimento do material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Guarnição de Serviço qualquer desconhecimento do material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79 (consulta) → Art. 86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deverá acompanhado dos Comandantes de Guarnição supervisionar a conferência de todo o material.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de Guarnição deverá supervisionar a conferência de todo o material.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81 (consulta) → Art. 88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Comandante de Socorro verificar a disponibilidade e o uso correto dos EPI.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Oficial de Dia/Comandante de Guarnição verificar a disponibilidade e o uso correto dos EPI.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82 (consulta) → Art. 89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85 (consulta) → Art. 92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86 (consulta) → Art. 93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 Serviço ao ouvir o toque de alerta referente ao emprego de seu socorro deverá imediatamente deslocar-se para viatura, para deixar o quartel e partir para o local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 Serviço ao ouvir o toque de alerta referente ao emprego de seu socorro deverá imediatamente deslocar-se para viatura, para deixar o quartel e partir para o local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87 (consulta) → Art. 94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96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Centro Integrado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91 (consulta) → Art. 98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Comandante do Socorro não deverá permitir que se coloque em segundo plano a segurança da guarnição em função de um mínimo de ganho de tempo.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Oficial de Dia/Comandante da Guarnição não deverá permitir que se coloque em segundo plano a segurança da guarnição em função de um mínimo de ganho de tempo.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92 (consulta) → Art. 99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93 (consulta) → Art. 100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Comandante do Socorro deverá colocar a tropa em forma, comentar os acertos e erros acontecidos durante a operação para possíveis correções.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Oficial de Dia/Comandante da Guarnição deverá colocar a tropa em forma, comentar os acertos e erros acontecidos durante a operação para possíveis correções.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94 (consulta) → Art. 101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96 (consulta) → Art. 103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98 (consulta) → Art. 105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Subcomandante-Geral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100 (consulta) → Art. 107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Comandante de Socorro da OBM cedente deverá ser realizado mediante cautela devidamente assinada pelo seu Comandante.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na Parte Diária da OBM cedente deverá ser realizado mediante cautela devidamente assinada pelo seu Comandante.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102 (consulta) → Art. 109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104 (consulta) → Art. 111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105 (consulta) → Art. 112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107 (consulta) → Art. 114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108 (consulta) → Art. 115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Unidade durante o serviço previsto, a fim de observar o cumprimento do repouso e prestar o apoio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OBM durante o serviço previsto, a fim de observar o cumprimento do repouso e prestar o apoio necessário.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110→Art. 117, Art. 111→Art. 118, Art. 112→Art. 119, Art. 113→Art. 120, Art. 114→Art. 121, Art. 115→Art. 122, Art. 116→Art. 123, Art. 117→Art. 124, Art. 118→Art. 125, Art. 119→Art. 126, Art. 120→Art. 127, Art. 121→Art. 128, Art. 122→Art. 129, Art. 123→Art. 131, Art. 124→Art. 132.</w:t>
      </w:r>
    </w:p>
    <w:p>
      <w:pPr>
        <w:spacing w:after="40" w:line="360"/>
        <w:jc w:val="both"/>
      </w:pPr>
      <w:r>
        <w:rPr>
          <w:rFonts w:ascii="Times New Roman" w:cs="Times New Roman" w:eastAsia="Times New Roman" w:hAnsi="Times New Roman"/>
          <w:b/>
          <w:bCs/>
          <w:i w:val="false"/>
          <w:iCs w:val="false"/>
          <w:sz w:val="20"/>
          <w:szCs w:val="20"/>
        </w:rPr>
        <w:t xml:space="preserve">— (consulta) → Art. 130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Artigo novo (15/09/2026): abertura própria do Título II — Do Serviço Técnico, espelho da política do serviço operacional (se-art-3), que passou a abrir o Título 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técnico:</w:t>
            </w:r>
          </w:p>
          <w:p>
            <w:pPr>
              <w:spacing w:after="0"/>
            </w:pPr>
            <w:r>
              <w:rPr>
                <w:rFonts w:ascii="Times New Roman" w:cs="Times New Roman" w:eastAsia="Times New Roman" w:hAnsi="Times New Roman"/>
                <w:b w:val="false"/>
                <w:bCs w:val="false"/>
                <w:sz w:val="20"/>
                <w:szCs w:val="20"/>
              </w:rPr>
              <w:t xml:space="preserve">I - promover a proteção da vida, do patrimônio e do meio ambiente por meio da prevenção e da proteção contra incêndio e pânico nas edificações e áreas de risco;</w:t>
            </w:r>
          </w:p>
          <w:p>
            <w:pPr>
              <w:spacing w:after="0"/>
            </w:pPr>
            <w:r>
              <w:rPr>
                <w:rFonts w:ascii="Times New Roman" w:cs="Times New Roman" w:eastAsia="Times New Roman" w:hAnsi="Times New Roman"/>
                <w:b w:val="false"/>
                <w:bCs w:val="false"/>
                <w:sz w:val="20"/>
                <w:szCs w:val="20"/>
              </w:rPr>
              <w:t xml:space="preserve">II - manter atualizadas e uniformes as normas e as Instruções Técnicas de segurança contra incêndio e pânico, observada a legislação estadual;</w:t>
            </w:r>
          </w:p>
          <w:p>
            <w:pPr>
              <w:spacing w:after="0"/>
            </w:pPr>
            <w:r>
              <w:rPr>
                <w:rFonts w:ascii="Times New Roman" w:cs="Times New Roman" w:eastAsia="Times New Roman" w:hAnsi="Times New Roman"/>
                <w:b w:val="false"/>
                <w:bCs w:val="false"/>
                <w:sz w:val="20"/>
                <w:szCs w:val="20"/>
              </w:rPr>
              <w:t xml:space="preserve">III - padronizar, em todo o Estado, os procedimentos de análise de projetos, vistoria, fiscalização e emissão dos certificados e licenças de competência da Corporação;</w:t>
            </w:r>
          </w:p>
          <w:p>
            <w:pPr>
              <w:spacing w:after="0"/>
            </w:pPr>
            <w:r>
              <w:rPr>
                <w:rFonts w:ascii="Times New Roman" w:cs="Times New Roman" w:eastAsia="Times New Roman" w:hAnsi="Times New Roman"/>
                <w:b w:val="false"/>
                <w:bCs w:val="false"/>
                <w:sz w:val="20"/>
                <w:szCs w:val="20"/>
              </w:rPr>
              <w:t xml:space="preserve">IV - assegurar a habilitação e a capacitação continuada dos oficiais e praças que atuam no Sistema de Segurança Contra Incêndio e Pânico;</w:t>
            </w:r>
          </w:p>
          <w:p>
            <w:pPr>
              <w:spacing w:after="0"/>
            </w:pPr>
            <w:r>
              <w:rPr>
                <w:rFonts w:ascii="Times New Roman" w:cs="Times New Roman" w:eastAsia="Times New Roman" w:hAnsi="Times New Roman"/>
                <w:b w:val="false"/>
                <w:bCs w:val="false"/>
                <w:sz w:val="20"/>
                <w:szCs w:val="20"/>
              </w:rPr>
              <w:t xml:space="preserve">V - promover a celeridade, a transparência e a impessoalidade no atendimento ao cidadão e aos responsáveis pelas edificações e áreas de risco;</w:t>
            </w:r>
          </w:p>
          <w:p>
            <w:pPr>
              <w:spacing w:after="0"/>
            </w:pPr>
            <w:r>
              <w:rPr>
                <w:rFonts w:ascii="Times New Roman" w:cs="Times New Roman" w:eastAsia="Times New Roman" w:hAnsi="Times New Roman"/>
                <w:b w:val="false"/>
                <w:bCs w:val="false"/>
                <w:sz w:val="20"/>
                <w:szCs w:val="20"/>
              </w:rPr>
              <w:t xml:space="preserve">VI - integrar as atividades técnicas às atividades operacionais, subsidiando o planejamento das operações com as informações sobre as edificações e áreas de risco;</w:t>
            </w:r>
          </w:p>
          <w:p>
            <w:pPr>
              <w:spacing w:after="0"/>
            </w:pPr>
            <w:r>
              <w:rPr>
                <w:rFonts w:ascii="Times New Roman" w:cs="Times New Roman" w:eastAsia="Times New Roman" w:hAnsi="Times New Roman"/>
                <w:b w:val="false"/>
                <w:bCs w:val="false"/>
                <w:sz w:val="20"/>
                <w:szCs w:val="20"/>
              </w:rPr>
              <w:t xml:space="preserve">VII - fomentar programas de educação pública e a cultura de prevenção de incêndio e pânico; e</w:t>
            </w:r>
          </w:p>
          <w:p>
            <w:pPr>
              <w:spacing w:after="0"/>
            </w:pPr>
            <w:r>
              <w:rPr>
                <w:rFonts w:ascii="Times New Roman" w:cs="Times New Roman" w:eastAsia="Times New Roman" w:hAnsi="Times New Roman"/>
                <w:b w:val="false"/>
                <w:bCs w:val="false"/>
                <w:sz w:val="20"/>
                <w:szCs w:val="20"/>
              </w:rPr>
              <w:t xml:space="preserve">VIII - orientar o emprego dos recursos do serviço técnico segundo critérios de necessidade, eficiência, segurança e capacidade de atendimento.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40" w:line="360"/>
        <w:jc w:val="both"/>
      </w:pPr>
      <w:r>
        <w:rPr>
          <w:rFonts w:ascii="Times New Roman" w:cs="Times New Roman" w:eastAsia="Times New Roman" w:hAnsi="Times New Roman"/>
          <w:b/>
          <w:bCs/>
          <w:i w:val="false"/>
          <w:iCs w:val="false"/>
          <w:sz w:val="20"/>
          <w:szCs w:val="20"/>
        </w:rPr>
        <w:t xml:space="preserve">Art. 125 (consulta) → Art. 133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Organizações Bombeiro Militar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126 (consulta) → Art. 134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2026-09-16T18:20:43.563Z</dcterms:created>
  <dcterms:modified xsi:type="dcterms:W3CDTF">2026-09-16T18:20:43.564Z</dcterms:modified>
</cp:coreProperties>
</file>

<file path=docProps/custom.xml><?xml version="1.0" encoding="utf-8"?>
<Properties xmlns="http://schemas.openxmlformats.org/officeDocument/2006/custom-properties" xmlns:vt="http://schemas.openxmlformats.org/officeDocument/2006/docPropsVTypes"/>
</file>