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como foi disponibilizada aos militares, já com as correções ortográficas e de texto (que valem para as duas versões); a da direita, a versão produzida após as sugestões. Resumo: 123 artigos sem alteração, 20 corrigidos nas duas versões, 7 com texto alterado pelo texto final do portal, 15 reescritos, 6 incluídos e 8 suprimidos; 3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Proteção 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II - em aglomerados urbanos;</w:t>
            </w:r>
          </w:p>
          <w:p>
            <w:pPr>
              <w:spacing w:after="0"/>
            </w:pPr>
            <w:r>
              <w:rPr>
                <w:rFonts w:ascii="Times New Roman" w:cs="Times New Roman" w:eastAsia="Times New Roman" w:hAnsi="Times New Roman"/>
                <w:b w:val="false"/>
                <w:bCs w:val="false"/>
                <w:sz w:val="20"/>
                <w:szCs w:val="20"/>
              </w:rPr>
              <w:t xml:space="preserve">III -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IV -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V - em áreas de interesse estratégico e econômico;</w:t>
            </w:r>
          </w:p>
          <w:p>
            <w:pPr>
              <w:spacing w:after="0"/>
            </w:pPr>
            <w:r>
              <w:rPr>
                <w:rFonts w:ascii="Times New Roman" w:cs="Times New Roman" w:eastAsia="Times New Roman" w:hAnsi="Times New Roman"/>
                <w:b w:val="false"/>
                <w:bCs w:val="false"/>
                <w:sz w:val="20"/>
                <w:szCs w:val="20"/>
              </w:rPr>
              <w:t xml:space="preserve">VI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VII - realizar serviços de salvamentos de pessoas e animais;</w:t>
            </w:r>
          </w:p>
          <w:p>
            <w:pPr>
              <w:spacing w:after="0"/>
            </w:pPr>
            <w:r>
              <w:rPr>
                <w:rFonts w:ascii="Times New Roman" w:cs="Times New Roman" w:eastAsia="Times New Roman" w:hAnsi="Times New Roman"/>
                <w:b w:val="false"/>
                <w:bCs w:val="false"/>
                <w:sz w:val="20"/>
                <w:szCs w:val="20"/>
              </w:rPr>
              <w:t xml:space="preserve">VIII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IX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X - realizar serviços de socorro e apoio às embarcações;</w:t>
            </w:r>
          </w:p>
          <w:p>
            <w:pPr>
              <w:spacing w:after="0"/>
            </w:pPr>
            <w:r>
              <w:rPr>
                <w:rFonts w:ascii="Times New Roman" w:cs="Times New Roman" w:eastAsia="Times New Roman" w:hAnsi="Times New Roman"/>
                <w:b w:val="false"/>
                <w:bCs w:val="false"/>
                <w:sz w:val="20"/>
                <w:szCs w:val="20"/>
              </w:rPr>
              <w:t xml:space="preserve">XI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XII - nos locais de sinistros ou de risco;</w:t>
            </w:r>
          </w:p>
          <w:p>
            <w:pPr>
              <w:spacing w:after="0"/>
            </w:pPr>
            <w:r>
              <w:rPr>
                <w:rFonts w:ascii="Times New Roman" w:cs="Times New Roman" w:eastAsia="Times New Roman" w:hAnsi="Times New Roman"/>
                <w:b w:val="false"/>
                <w:bCs w:val="false"/>
                <w:sz w:val="20"/>
                <w:szCs w:val="20"/>
              </w:rPr>
              <w:t xml:space="preserve">XIII -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XIV -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XV -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XVI -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XVII -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XVIII -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XIX - realizar Perícia Técnica:;</w:t>
            </w:r>
          </w:p>
          <w:p>
            <w:pPr>
              <w:spacing w:after="0"/>
            </w:pPr>
            <w:r>
              <w:rPr>
                <w:rFonts w:ascii="Times New Roman" w:cs="Times New Roman" w:eastAsia="Times New Roman" w:hAnsi="Times New Roman"/>
                <w:b w:val="false"/>
                <w:bCs w:val="false"/>
                <w:sz w:val="20"/>
                <w:szCs w:val="20"/>
              </w:rPr>
              <w:t xml:space="preserve">XX -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XXI -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XXII - realizar serviços de vistorias em edificações;</w:t>
            </w:r>
          </w:p>
          <w:p>
            <w:pPr>
              <w:spacing w:after="0"/>
            </w:pPr>
            <w:r>
              <w:rPr>
                <w:rFonts w:ascii="Times New Roman" w:cs="Times New Roman" w:eastAsia="Times New Roman" w:hAnsi="Times New Roman"/>
                <w:b w:val="false"/>
                <w:bCs w:val="false"/>
                <w:sz w:val="20"/>
                <w:szCs w:val="20"/>
              </w:rPr>
              <w:t xml:space="preserve">XXIII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XXIV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XXV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XXVI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XXVII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XXVIII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XXIX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XXX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XXXI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XXXII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XXXIII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XXXIV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XXXV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XXXVI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XXXVII - planejar, elaborar, gerenciar e executar o orçamento; e; e</w:t>
            </w:r>
          </w:p>
          <w:p>
            <w:pPr>
              <w:spacing w:after="0"/>
            </w:pPr>
            <w:r>
              <w:rPr>
                <w:rFonts w:ascii="Times New Roman" w:cs="Times New Roman" w:eastAsia="Times New Roman" w:hAnsi="Times New Roman"/>
                <w:b w:val="false"/>
                <w:bCs w:val="false"/>
                <w:sz w:val="20"/>
                <w:szCs w:val="20"/>
              </w:rPr>
              <w:t xml:space="preserve">XXXVIII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164→Art. 164, Art. 165→Art. 165, Art. 166→Art. 166, Art. 167→Art. 167, Art. 168→Art. 168,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154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155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156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157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158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159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160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161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162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II - comandante;</w:t>
            </w:r>
          </w:p>
          <w:p>
            <w:pPr>
              <w:spacing w:after="0"/>
            </w:pPr>
            <w:r>
              <w:rPr>
                <w:rFonts w:ascii="Times New Roman" w:cs="Times New Roman" w:eastAsia="Times New Roman" w:hAnsi="Times New Roman"/>
                <w:b w:val="false"/>
                <w:bCs w:val="false"/>
                <w:sz w:val="20"/>
                <w:szCs w:val="20"/>
              </w:rPr>
              <w:t xml:space="preserve">III - subcomandante; e;</w:t>
            </w:r>
          </w:p>
          <w:p>
            <w:pPr>
              <w:spacing w:after="0"/>
            </w:pPr>
            <w:r>
              <w:rPr>
                <w:rFonts w:ascii="Times New Roman" w:cs="Times New Roman" w:eastAsia="Times New Roman" w:hAnsi="Times New Roman"/>
                <w:b w:val="false"/>
                <w:bCs w:val="false"/>
                <w:sz w:val="20"/>
                <w:szCs w:val="20"/>
              </w:rPr>
              <w:t xml:space="preserve">IV - auxiliares;</w:t>
            </w:r>
          </w:p>
          <w:p>
            <w:pPr>
              <w:spacing w:after="0"/>
            </w:pPr>
            <w:r>
              <w:rPr>
                <w:rFonts w:ascii="Times New Roman" w:cs="Times New Roman" w:eastAsia="Times New Roman" w:hAnsi="Times New Roman"/>
                <w:b w:val="false"/>
                <w:bCs w:val="false"/>
                <w:sz w:val="20"/>
                <w:szCs w:val="20"/>
              </w:rPr>
              <w:t xml:space="preserve">V - estado-Maior:;</w:t>
            </w:r>
          </w:p>
          <w:p>
            <w:pPr>
              <w:spacing w:after="0"/>
            </w:pPr>
            <w:r>
              <w:rPr>
                <w:rFonts w:ascii="Times New Roman" w:cs="Times New Roman" w:eastAsia="Times New Roman" w:hAnsi="Times New Roman"/>
                <w:b w:val="false"/>
                <w:bCs w:val="false"/>
                <w:sz w:val="20"/>
                <w:szCs w:val="20"/>
              </w:rPr>
              <w:t xml:space="preserve">VI - b1 (Pessoal);</w:t>
            </w:r>
          </w:p>
          <w:p>
            <w:pPr>
              <w:spacing w:after="0"/>
            </w:pPr>
            <w:r>
              <w:rPr>
                <w:rFonts w:ascii="Times New Roman" w:cs="Times New Roman" w:eastAsia="Times New Roman" w:hAnsi="Times New Roman"/>
                <w:b w:val="false"/>
                <w:bCs w:val="false"/>
                <w:sz w:val="20"/>
                <w:szCs w:val="20"/>
              </w:rPr>
              <w:t xml:space="preserve">VII - b2 (Inteligência);</w:t>
            </w:r>
          </w:p>
          <w:p>
            <w:pPr>
              <w:spacing w:after="0"/>
            </w:pPr>
            <w:r>
              <w:rPr>
                <w:rFonts w:ascii="Times New Roman" w:cs="Times New Roman" w:eastAsia="Times New Roman" w:hAnsi="Times New Roman"/>
                <w:b w:val="false"/>
                <w:bCs w:val="false"/>
                <w:sz w:val="20"/>
                <w:szCs w:val="20"/>
              </w:rPr>
              <w:t xml:space="preserve">VIII - b3 (Operações);</w:t>
            </w:r>
          </w:p>
          <w:p>
            <w:pPr>
              <w:spacing w:after="0"/>
            </w:pPr>
            <w:r>
              <w:rPr>
                <w:rFonts w:ascii="Times New Roman" w:cs="Times New Roman" w:eastAsia="Times New Roman" w:hAnsi="Times New Roman"/>
                <w:b w:val="false"/>
                <w:bCs w:val="false"/>
                <w:sz w:val="20"/>
                <w:szCs w:val="20"/>
              </w:rPr>
              <w:t xml:space="preserve">IX - b4 (Logística);</w:t>
            </w:r>
          </w:p>
          <w:p>
            <w:pPr>
              <w:spacing w:after="0"/>
            </w:pPr>
            <w:r>
              <w:rPr>
                <w:rFonts w:ascii="Times New Roman" w:cs="Times New Roman" w:eastAsia="Times New Roman" w:hAnsi="Times New Roman"/>
                <w:b w:val="false"/>
                <w:bCs w:val="false"/>
                <w:sz w:val="20"/>
                <w:szCs w:val="20"/>
              </w:rPr>
              <w:t xml:space="preserve">X - b5 (Relações Externas); e; e</w:t>
            </w:r>
          </w:p>
          <w:p>
            <w:pPr>
              <w:spacing w:after="0"/>
            </w:pPr>
            <w:r>
              <w:rPr>
                <w:rFonts w:ascii="Times New Roman" w:cs="Times New Roman" w:eastAsia="Times New Roman" w:hAnsi="Times New Roman"/>
                <w:b w:val="false"/>
                <w:bCs w:val="false"/>
                <w:sz w:val="20"/>
                <w:szCs w:val="20"/>
              </w:rPr>
              <w:t xml:space="preserve">XI -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163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34→Art. 36, Art. 35→Art. 37, Art. 37→Art. 40, Art. 43→Art. 43, Art. 44→Art. 44, Art. 46→Art. 46, Art. 52→Art. 52, Art. 53→Art. 53, Art. 54→Art. 54, Art. 56→Art. 56, Art. 58→Art. 58, Art. 59→Art. 59, Art. 60→Art. 60, Art. 61→Art. 61, Art. 62→Art. 62, Art. 63→Art. 63, Art. 64→Art. 64, Art. 65→Art. 65, Art. 66→Art. 66, Art. 67→Art. 67, Art. 68→Art. 68, Art. 69→Art. 69, Art. 70→Art. 70, Art. 71→Art. 71, Art. 72→Art. 72, Art. 73→Art. 73, Art. 74→Art. 74, Art. 75→Art. 75, Art. 76→Art. 76, Art. 78→Art. 78, Art. 79→Art. 79, Art. 80→Art. 80, Art. 81→Art. 81, Art. 82→Art. 82, Art. 83→Art. 83, Art. 84→Art. 84, Art. 85→Art. 85, Art. 86→Art. 86, Art. 87→Art. 87, Art. 88→Art. 88, Art. 154→Art. 154, Art. 155→Art. 155.</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 e</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IV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VI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IX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XI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XII - promover a padronização e o aperfeiçoamento contínuo dos procedimentos empregados nas atividades operacionais; e; e</w:t>
            </w:r>
          </w:p>
          <w:p>
            <w:pPr>
              <w:spacing w:after="0"/>
            </w:pPr>
            <w:r>
              <w:rPr>
                <w:rFonts w:ascii="Times New Roman" w:cs="Times New Roman" w:eastAsia="Times New Roman" w:hAnsi="Times New Roman"/>
                <w:b w:val="false"/>
                <w:bCs w:val="false"/>
                <w:sz w:val="20"/>
                <w:szCs w:val="20"/>
              </w:rPr>
              <w:t xml:space="preserve">XIII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comandante de Área;</w:t>
            </w:r>
          </w:p>
          <w:p>
            <w:pPr>
              <w:spacing w:after="0"/>
            </w:pPr>
            <w:r>
              <w:rPr>
                <w:rFonts w:ascii="Times New Roman" w:cs="Times New Roman" w:eastAsia="Times New Roman" w:hAnsi="Times New Roman"/>
                <w:b w:val="false"/>
                <w:bCs w:val="false"/>
                <w:sz w:val="20"/>
                <w:szCs w:val="20"/>
              </w:rPr>
              <w:t xml:space="preserve">III - comandante de Socorro;</w:t>
            </w:r>
          </w:p>
          <w:p>
            <w:pPr>
              <w:spacing w:after="0"/>
            </w:pPr>
            <w:r>
              <w:rPr>
                <w:rFonts w:ascii="Times New Roman" w:cs="Times New Roman" w:eastAsia="Times New Roman" w:hAnsi="Times New Roman"/>
                <w:b w:val="false"/>
                <w:bCs w:val="false"/>
                <w:sz w:val="20"/>
                <w:szCs w:val="20"/>
              </w:rPr>
              <w:t xml:space="preserve">IV - oficial de dia;</w:t>
            </w:r>
          </w:p>
          <w:p>
            <w:pPr>
              <w:spacing w:after="0"/>
            </w:pPr>
            <w:r>
              <w:rPr>
                <w:rFonts w:ascii="Times New Roman" w:cs="Times New Roman" w:eastAsia="Times New Roman" w:hAnsi="Times New Roman"/>
                <w:b w:val="false"/>
                <w:bCs w:val="false"/>
                <w:sz w:val="20"/>
                <w:szCs w:val="20"/>
              </w:rPr>
              <w:t xml:space="preserve">V - adjunto ao Oficial de dia;</w:t>
            </w:r>
          </w:p>
          <w:p>
            <w:pPr>
              <w:spacing w:after="0"/>
            </w:pPr>
            <w:r>
              <w:rPr>
                <w:rFonts w:ascii="Times New Roman" w:cs="Times New Roman" w:eastAsia="Times New Roman" w:hAnsi="Times New Roman"/>
                <w:b w:val="false"/>
                <w:bCs w:val="false"/>
                <w:sz w:val="20"/>
                <w:szCs w:val="20"/>
              </w:rPr>
              <w:t xml:space="preserve">VI - comandante de Guarnição;</w:t>
            </w:r>
          </w:p>
          <w:p>
            <w:pPr>
              <w:spacing w:after="0"/>
            </w:pPr>
            <w:r>
              <w:rPr>
                <w:rFonts w:ascii="Times New Roman" w:cs="Times New Roman" w:eastAsia="Times New Roman" w:hAnsi="Times New Roman"/>
                <w:b w:val="false"/>
                <w:bCs w:val="false"/>
                <w:sz w:val="20"/>
                <w:szCs w:val="20"/>
              </w:rPr>
              <w:t xml:space="preserve">VII - condutor e Operador de Viaturas;</w:t>
            </w:r>
          </w:p>
          <w:p>
            <w:pPr>
              <w:spacing w:after="0"/>
            </w:pPr>
            <w:r>
              <w:rPr>
                <w:rFonts w:ascii="Times New Roman" w:cs="Times New Roman" w:eastAsia="Times New Roman" w:hAnsi="Times New Roman"/>
                <w:b w:val="false"/>
                <w:bCs w:val="false"/>
                <w:sz w:val="20"/>
                <w:szCs w:val="20"/>
              </w:rPr>
              <w:t xml:space="preserve">VIII - auxiliares do Comandante da Guarnição;</w:t>
            </w:r>
          </w:p>
          <w:p>
            <w:pPr>
              <w:spacing w:after="0"/>
            </w:pPr>
            <w:r>
              <w:rPr>
                <w:rFonts w:ascii="Times New Roman" w:cs="Times New Roman" w:eastAsia="Times New Roman" w:hAnsi="Times New Roman"/>
                <w:b w:val="false"/>
                <w:bCs w:val="false"/>
                <w:sz w:val="20"/>
                <w:szCs w:val="20"/>
              </w:rPr>
              <w:t xml:space="preserve">IX - operador de Rádio;</w:t>
            </w:r>
          </w:p>
          <w:p>
            <w:pPr>
              <w:spacing w:after="0"/>
            </w:pPr>
            <w:r>
              <w:rPr>
                <w:rFonts w:ascii="Times New Roman" w:cs="Times New Roman" w:eastAsia="Times New Roman" w:hAnsi="Times New Roman"/>
                <w:b w:val="false"/>
                <w:bCs w:val="false"/>
                <w:sz w:val="20"/>
                <w:szCs w:val="20"/>
              </w:rPr>
              <w:t xml:space="preserve">X - comandante de Guarda de Quartel;</w:t>
            </w:r>
          </w:p>
          <w:p>
            <w:pPr>
              <w:spacing w:after="0"/>
            </w:pPr>
            <w:r>
              <w:rPr>
                <w:rFonts w:ascii="Times New Roman" w:cs="Times New Roman" w:eastAsia="Times New Roman" w:hAnsi="Times New Roman"/>
                <w:b w:val="false"/>
                <w:bCs w:val="false"/>
                <w:sz w:val="20"/>
                <w:szCs w:val="20"/>
              </w:rPr>
              <w:t xml:space="preserve">XI - auxiliar da Guarda de OBM;</w:t>
            </w:r>
          </w:p>
          <w:p>
            <w:pPr>
              <w:spacing w:after="0"/>
            </w:pPr>
            <w:r>
              <w:rPr>
                <w:rFonts w:ascii="Times New Roman" w:cs="Times New Roman" w:eastAsia="Times New Roman" w:hAnsi="Times New Roman"/>
                <w:b w:val="false"/>
                <w:bCs w:val="false"/>
                <w:sz w:val="20"/>
                <w:szCs w:val="20"/>
              </w:rPr>
              <w:t xml:space="preserve">XII - socorristas; e</w:t>
            </w:r>
          </w:p>
          <w:p>
            <w:pPr>
              <w:spacing w:after="0"/>
            </w:pPr>
            <w:r>
              <w:rPr>
                <w:rFonts w:ascii="Times New Roman" w:cs="Times New Roman" w:eastAsia="Times New Roman" w:hAnsi="Times New Roman"/>
                <w:b w:val="false"/>
                <w:bCs w:val="false"/>
                <w:sz w:val="20"/>
                <w:szCs w:val="20"/>
              </w:rPr>
              <w:t xml:space="preserve">XIII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comandante de Área;</w:t>
            </w:r>
          </w:p>
          <w:p>
            <w:pPr>
              <w:spacing w:after="0"/>
            </w:pPr>
            <w:r>
              <w:rPr>
                <w:rFonts w:ascii="Times New Roman" w:cs="Times New Roman" w:eastAsia="Times New Roman" w:hAnsi="Times New Roman"/>
                <w:b w:val="false"/>
                <w:bCs w:val="false"/>
                <w:sz w:val="20"/>
                <w:szCs w:val="20"/>
              </w:rPr>
              <w:t xml:space="preserve">III - comandante de Socorro;</w:t>
            </w:r>
          </w:p>
          <w:p>
            <w:pPr>
              <w:spacing w:after="0"/>
            </w:pPr>
            <w:r>
              <w:rPr>
                <w:rFonts w:ascii="Times New Roman" w:cs="Times New Roman" w:eastAsia="Times New Roman" w:hAnsi="Times New Roman"/>
                <w:b w:val="false"/>
                <w:bCs w:val="false"/>
                <w:sz w:val="20"/>
                <w:szCs w:val="20"/>
              </w:rPr>
              <w:t xml:space="preserve">IV - oficial de dia;</w:t>
            </w:r>
          </w:p>
          <w:p>
            <w:pPr>
              <w:spacing w:after="0"/>
            </w:pPr>
            <w:r>
              <w:rPr>
                <w:rFonts w:ascii="Times New Roman" w:cs="Times New Roman" w:eastAsia="Times New Roman" w:hAnsi="Times New Roman"/>
                <w:b w:val="false"/>
                <w:bCs w:val="false"/>
                <w:sz w:val="20"/>
                <w:szCs w:val="20"/>
              </w:rPr>
              <w:t xml:space="preserve">V - adjunto ao Oficial de dia;</w:t>
            </w:r>
          </w:p>
          <w:p>
            <w:pPr>
              <w:spacing w:after="0"/>
            </w:pPr>
            <w:r>
              <w:rPr>
                <w:rFonts w:ascii="Times New Roman" w:cs="Times New Roman" w:eastAsia="Times New Roman" w:hAnsi="Times New Roman"/>
                <w:b w:val="false"/>
                <w:bCs w:val="false"/>
                <w:sz w:val="20"/>
                <w:szCs w:val="20"/>
              </w:rPr>
              <w:t xml:space="preserve">VI - comandante de Guarnição;</w:t>
            </w:r>
          </w:p>
          <w:p>
            <w:pPr>
              <w:spacing w:after="0"/>
            </w:pPr>
            <w:r>
              <w:rPr>
                <w:rFonts w:ascii="Times New Roman" w:cs="Times New Roman" w:eastAsia="Times New Roman" w:hAnsi="Times New Roman"/>
                <w:b w:val="false"/>
                <w:bCs w:val="false"/>
                <w:sz w:val="20"/>
                <w:szCs w:val="20"/>
              </w:rPr>
              <w:t xml:space="preserve">VII - condutor e Operador de Viaturas;</w:t>
            </w:r>
          </w:p>
          <w:p>
            <w:pPr>
              <w:spacing w:after="0"/>
            </w:pPr>
            <w:r>
              <w:rPr>
                <w:rFonts w:ascii="Times New Roman" w:cs="Times New Roman" w:eastAsia="Times New Roman" w:hAnsi="Times New Roman"/>
                <w:b w:val="false"/>
                <w:bCs w:val="false"/>
                <w:sz w:val="20"/>
                <w:szCs w:val="20"/>
              </w:rPr>
              <w:t xml:space="preserve">VIII - auxiliares do Comandante da Guarnição;</w:t>
            </w:r>
          </w:p>
          <w:p>
            <w:pPr>
              <w:spacing w:after="0"/>
            </w:pPr>
            <w:r>
              <w:rPr>
                <w:rFonts w:ascii="Times New Roman" w:cs="Times New Roman" w:eastAsia="Times New Roman" w:hAnsi="Times New Roman"/>
                <w:b w:val="false"/>
                <w:bCs w:val="false"/>
                <w:sz w:val="20"/>
                <w:szCs w:val="20"/>
              </w:rPr>
              <w:t xml:space="preserve">IX - operador de Rádio;</w:t>
            </w:r>
          </w:p>
          <w:p>
            <w:pPr>
              <w:spacing w:after="0"/>
            </w:pPr>
            <w:r>
              <w:rPr>
                <w:rFonts w:ascii="Times New Roman" w:cs="Times New Roman" w:eastAsia="Times New Roman" w:hAnsi="Times New Roman"/>
                <w:b w:val="false"/>
                <w:bCs w:val="false"/>
                <w:sz w:val="20"/>
                <w:szCs w:val="20"/>
              </w:rPr>
              <w:t xml:space="preserve">X - comandante de Guarda de Quartel;</w:t>
            </w:r>
          </w:p>
          <w:p>
            <w:pPr>
              <w:spacing w:after="0"/>
            </w:pPr>
            <w:r>
              <w:rPr>
                <w:rFonts w:ascii="Times New Roman" w:cs="Times New Roman" w:eastAsia="Times New Roman" w:hAnsi="Times New Roman"/>
                <w:b w:val="false"/>
                <w:bCs w:val="false"/>
                <w:sz w:val="20"/>
                <w:szCs w:val="20"/>
              </w:rPr>
              <w:t xml:space="preserve">XI - auxiliar da Guarda de OBM;</w:t>
            </w:r>
          </w:p>
          <w:p>
            <w:pPr>
              <w:spacing w:after="0"/>
            </w:pPr>
            <w:r>
              <w:rPr>
                <w:rFonts w:ascii="Times New Roman" w:cs="Times New Roman" w:eastAsia="Times New Roman" w:hAnsi="Times New Roman"/>
                <w:b w:val="false"/>
                <w:bCs w:val="false"/>
                <w:sz w:val="20"/>
                <w:szCs w:val="20"/>
              </w:rPr>
              <w:t xml:space="preserve">XII - socorristas; e</w:t>
            </w:r>
          </w:p>
          <w:p>
            <w:pPr>
              <w:spacing w:after="0"/>
            </w:pPr>
            <w:r>
              <w:rPr>
                <w:rFonts w:ascii="Times New Roman" w:cs="Times New Roman" w:eastAsia="Times New Roman" w:hAnsi="Times New Roman"/>
                <w:b w:val="false"/>
                <w:bCs w:val="false"/>
                <w:sz w:val="20"/>
                <w:szCs w:val="20"/>
              </w:rPr>
              <w:t xml:space="preserve">XIII - permanência.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II - 6 horas de trabalho por 18 horas de folga da escala;</w:t>
            </w:r>
          </w:p>
          <w:p>
            <w:pPr>
              <w:spacing w:after="0"/>
            </w:pPr>
            <w:r>
              <w:rPr>
                <w:rFonts w:ascii="Times New Roman" w:cs="Times New Roman" w:eastAsia="Times New Roman" w:hAnsi="Times New Roman"/>
                <w:b w:val="false"/>
                <w:bCs w:val="false"/>
                <w:sz w:val="20"/>
                <w:szCs w:val="20"/>
              </w:rPr>
              <w:t xml:space="preserve">III - 12 horas de trabalho por 36 horas de folga da escala;</w:t>
            </w:r>
          </w:p>
          <w:p>
            <w:pPr>
              <w:spacing w:after="0"/>
            </w:pPr>
            <w:r>
              <w:rPr>
                <w:rFonts w:ascii="Times New Roman" w:cs="Times New Roman" w:eastAsia="Times New Roman" w:hAnsi="Times New Roman"/>
                <w:b w:val="false"/>
                <w:bCs w:val="false"/>
                <w:sz w:val="20"/>
                <w:szCs w:val="20"/>
              </w:rPr>
              <w:t xml:space="preserve">IV - 24 horas de trabalho por 48 horas de folga da escala;</w:t>
            </w:r>
          </w:p>
          <w:p>
            <w:pPr>
              <w:spacing w:after="0"/>
            </w:pPr>
            <w:r>
              <w:rPr>
                <w:rFonts w:ascii="Times New Roman" w:cs="Times New Roman" w:eastAsia="Times New Roman" w:hAnsi="Times New Roman"/>
                <w:b w:val="false"/>
                <w:bCs w:val="false"/>
                <w:sz w:val="20"/>
                <w:szCs w:val="20"/>
              </w:rPr>
              <w:t xml:space="preserve">V - 24 horas de trabalho por 72 horas de folga da escala;</w:t>
            </w:r>
          </w:p>
          <w:p>
            <w:pPr>
              <w:spacing w:after="0"/>
            </w:pPr>
            <w:r>
              <w:rPr>
                <w:rFonts w:ascii="Times New Roman" w:cs="Times New Roman" w:eastAsia="Times New Roman" w:hAnsi="Times New Roman"/>
                <w:b w:val="false"/>
                <w:bCs w:val="false"/>
                <w:sz w:val="20"/>
                <w:szCs w:val="20"/>
              </w:rPr>
              <w:t xml:space="preserve">VI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VII - para as praças serão: 24 horas de trabalho por 09 dias, sendo estas terão direito a folga de 24 horas no dia seguinte ao serviço; e</w:t>
            </w:r>
          </w:p>
          <w:p>
            <w:pPr>
              <w:spacing w:after="0"/>
            </w:pPr>
            <w:r>
              <w:rPr>
                <w:rFonts w:ascii="Times New Roman" w:cs="Times New Roman" w:eastAsia="Times New Roman" w:hAnsi="Times New Roman"/>
                <w:b w:val="false"/>
                <w:bCs w:val="false"/>
                <w:sz w:val="20"/>
                <w:szCs w:val="20"/>
              </w:rPr>
              <w:t xml:space="preserve">VIII -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II - 6 horas de trabalho por 18 horas de folga da escala;</w:t>
            </w:r>
          </w:p>
          <w:p>
            <w:pPr>
              <w:spacing w:after="0"/>
            </w:pPr>
            <w:r>
              <w:rPr>
                <w:rFonts w:ascii="Times New Roman" w:cs="Times New Roman" w:eastAsia="Times New Roman" w:hAnsi="Times New Roman"/>
                <w:b w:val="false"/>
                <w:bCs w:val="false"/>
                <w:sz w:val="20"/>
                <w:szCs w:val="20"/>
              </w:rPr>
              <w:t xml:space="preserve">III - 12 horas de trabalho por 36 horas de folga da escala;</w:t>
            </w:r>
          </w:p>
          <w:p>
            <w:pPr>
              <w:spacing w:after="0"/>
            </w:pPr>
            <w:r>
              <w:rPr>
                <w:rFonts w:ascii="Times New Roman" w:cs="Times New Roman" w:eastAsia="Times New Roman" w:hAnsi="Times New Roman"/>
                <w:b w:val="false"/>
                <w:bCs w:val="false"/>
                <w:sz w:val="20"/>
                <w:szCs w:val="20"/>
              </w:rPr>
              <w:t xml:space="preserve">IV - 24 horas de trabalho por 48 horas de folga da escala;</w:t>
            </w:r>
          </w:p>
          <w:p>
            <w:pPr>
              <w:spacing w:after="0"/>
            </w:pPr>
            <w:r>
              <w:rPr>
                <w:rFonts w:ascii="Times New Roman" w:cs="Times New Roman" w:eastAsia="Times New Roman" w:hAnsi="Times New Roman"/>
                <w:b w:val="false"/>
                <w:bCs w:val="false"/>
                <w:sz w:val="20"/>
                <w:szCs w:val="20"/>
              </w:rPr>
              <w:t xml:space="preserve">V - 24 horas de trabalho por 72 horas de folga da escala;</w:t>
            </w:r>
          </w:p>
          <w:p>
            <w:pPr>
              <w:spacing w:after="0"/>
            </w:pPr>
            <w:r>
              <w:rPr>
                <w:rFonts w:ascii="Times New Roman" w:cs="Times New Roman" w:eastAsia="Times New Roman" w:hAnsi="Times New Roman"/>
                <w:b w:val="false"/>
                <w:bCs w:val="false"/>
                <w:sz w:val="20"/>
                <w:szCs w:val="20"/>
              </w:rPr>
              <w:t xml:space="preserve">VI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VII - para as praças serão: 24 horas de trabalho por 09 dias, sendo estas terão direito a folga de 24 horas no dia seguinte ao serviço; e</w:t>
            </w:r>
          </w:p>
          <w:p>
            <w:pPr>
              <w:spacing w:after="0"/>
            </w:pPr>
            <w:r>
              <w:rPr>
                <w:rFonts w:ascii="Times New Roman" w:cs="Times New Roman" w:eastAsia="Times New Roman" w:hAnsi="Times New Roman"/>
                <w:b w:val="false"/>
                <w:bCs w:val="false"/>
                <w:sz w:val="20"/>
                <w:szCs w:val="20"/>
              </w:rPr>
              <w:t xml:space="preserve">VIII -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pelo Ten. Tiago no Portal de Legislação CBM (17-18/08/2026)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0"/>
            </w:pPr>
            <w:r>
              <w:rPr>
                <w:rFonts w:ascii="Times New Roman" w:cs="Times New Roman" w:eastAsia="Times New Roman" w:hAnsi="Times New Roman"/>
                <w:b w:val="false"/>
                <w:bCs w:val="false"/>
                <w:sz w:val="20"/>
                <w:szCs w:val="20"/>
              </w:rPr>
              <w:t xml:space="preserve">§ 1º Ao final do serviço deverá assinar, via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BG por determinação do Comandante-Geral ou pelo Subcomandante-Geral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pelo Ten. Tiago no Portal de Legislação CBM (17-18/08/2026)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Subcomandante-Geral do CBMRO, após publicação em Boletim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pelo Ten. Tiago no Portal de Legislação CBM (17-18/08/2026)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Subcomandante-Geral, através do gabinete do Subcomando-Geral.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pelo Ten. Tiago no Portal de Legislação CBM (17-18/08/2026)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Subcomandante-Geral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pelo Ten. Tiago no Portal de Legislação CBM (17-18/08/2026)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38 (atual) — Incluído na versão atual · PROPOSTA PENDENTE DE DELIBERAÇÃO</w:t>
      </w:r>
    </w:p>
    <w:p>
      <w:pPr>
        <w:spacing w:after="60" w:line="360"/>
        <w:jc w:val="both"/>
      </w:pPr>
      <w:r>
        <w:rPr>
          <w:rFonts w:ascii="Times New Roman" w:cs="Times New Roman" w:eastAsia="Times New Roman" w:hAnsi="Times New Roman"/>
          <w:b w:val="false"/>
          <w:bCs w:val="false"/>
          <w:i/>
          <w:iCs/>
          <w:sz w:val="18"/>
          <w:szCs w:val="18"/>
        </w:rPr>
        <w:t xml:space="preserve">PROPOSTA PENDENTE DE DELIBERAÇÃO DO CONDEG — muda regra de mérito em relação à versão em consulta: restringe o Superior de Dia à Capital e aos postos de Major/Tenente-Coronel; a versão em consulta prevê alcance em todo o território estadual (se-art-31) e os textos finais do Ten. Tiago põem a coordenação no Subcomandante-Geral.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exclusivamente na Capital do Estado,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39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Excluir (Ten. Tiago, 18/08)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em regime adequado de 24 (vinte e quatro) horas, podendo em casos excepcionais ser de 12 (doze) horas.</w:t>
            </w:r>
          </w:p>
          <w:p>
            <w:pPr>
              <w:spacing w:after="0"/>
            </w:pPr>
            <w:r>
              <w:rPr>
                <w:rFonts w:ascii="Times New Roman" w:cs="Times New Roman" w:eastAsia="Times New Roman" w:hAnsi="Times New Roman"/>
                <w:b w:val="false"/>
                <w:bCs w:val="false"/>
                <w:sz w:val="20"/>
                <w:szCs w:val="20"/>
              </w:rPr>
              <w:t xml:space="preserve">Parágrafo único. Ao final do serviço deverá ser preenchido o livro de registro de ocorrências, o qual deverá constar o visto 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41 (atual) — Incluído na versão atual · PROPOSTA PENDENTE DE DELIBERAÇÃO</w:t>
      </w:r>
    </w:p>
    <w:p>
      <w:pPr>
        <w:spacing w:after="60" w:line="360"/>
        <w:jc w:val="both"/>
      </w:pPr>
      <w:r>
        <w:rPr>
          <w:rFonts w:ascii="Times New Roman" w:cs="Times New Roman" w:eastAsia="Times New Roman" w:hAnsi="Times New Roman"/>
          <w:b w:val="false"/>
          <w:bCs w:val="false"/>
          <w:i/>
          <w:iCs/>
          <w:sz w:val="18"/>
          <w:szCs w:val="18"/>
        </w:rPr>
        <w:t xml:space="preserve">PROPOSTA PENDENTE DE DELIBERAÇÃO DO CONDEG — muda regra de mérito em relação à versão em consulta: redefine o Oficial de Dia como serviço interno do QCG (aquartelamento); na versão em consulta era função operacional coordenada pelo COB em cada OBM (se-art-32 a 38, marcados "Excluir" pelo Ten. Tiago). Avaliar extensão aos quartéis das OBMs.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Quartel do Comando-Geral – QCG,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42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Incisos X e XIII chegaram truncados na sugestão original ("rviço;" e "durante o se"); completados por dedução — confirmar com o autor. Incisos XXII a XXIV: conferir com a Corregedoria quanto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 e; e</w:t>
            </w:r>
          </w:p>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Excluir (Ten. Tiago, 18/08) — idem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Oficial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Excluir (Ten. Tiago, 18/08) — idem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 publicação das escalas de Oficial de Dia constarão o nome do oficial escalado e do seu eventual substituto (Reserva).</w:t>
            </w:r>
          </w:p>
          <w:p>
            <w:pPr>
              <w:spacing w:after="0"/>
            </w:pPr>
            <w:r>
              <w:rPr>
                <w:rFonts w:ascii="Times New Roman" w:cs="Times New Roman" w:eastAsia="Times New Roman" w:hAnsi="Times New Roman"/>
                <w:b w:val="false"/>
                <w:bCs w:val="false"/>
                <w:sz w:val="20"/>
                <w:szCs w:val="20"/>
              </w:rPr>
              <w:t xml:space="preserve">Parágrafo único. A escalação do oficial substituto (Reserva) obedecerá ao mesmo regime da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Excluir (Ten. Tiago, 18/08) — duplica se-art-29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Excluir (Ten. Tiago, 18/08) — duplica se-art-30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p>
            <w:pPr>
              <w:spacing w:after="0"/>
            </w:pPr>
            <w:r>
              <w:rPr>
                <w:rFonts w:ascii="Times New Roman" w:cs="Times New Roman" w:eastAsia="Times New Roman" w:hAnsi="Times New Roman"/>
                <w:b w:val="false"/>
                <w:bCs w:val="false"/>
                <w:sz w:val="20"/>
                <w:szCs w:val="20"/>
              </w:rPr>
              <w:t xml:space="preserve">Parágrafo único. Os interessados (substituto e substituído) em permutar o serviço deverão preencher o formulário padrão para esse tipo de solicitação existente na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42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Excluir (Ten. Tiago, 18/08) — duplica se-art-31 e está no bloco errado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área de atuação do Serviço de Superior de Dia ao CBMRO abrange todo o território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45 (consulta) → Art. 45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pelo Ten. Tiago no Portal de Legislação CBM (17-18/08/2026)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Comandante de socorro e de Oficial de dia deverão observar às regras internas da OBM a que o Oficial estiver subordinado, além daquelas previstas no RISG/EB quando essas funções forem equiparadas.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Comandante de socorro e de Oficial de dia deverão observar às regras internas da OBM a que o Oficial estiver subordinado, além daquelas previstas neste Regulamento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47 (consulta) → Art. 47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48 (atual) — Incluído na versão atual · PROPOSTA PENDENTE DE DELIBERAÇÃO</w:t>
      </w:r>
    </w:p>
    <w:p>
      <w:pPr>
        <w:spacing w:after="60" w:line="360"/>
        <w:jc w:val="both"/>
      </w:pPr>
      <w:r>
        <w:rPr>
          <w:rFonts w:ascii="Times New Roman" w:cs="Times New Roman" w:eastAsia="Times New Roman" w:hAnsi="Times New Roman"/>
          <w:b w:val="false"/>
          <w:bCs w:val="false"/>
          <w:i/>
          <w:iCs/>
          <w:sz w:val="18"/>
          <w:szCs w:val="18"/>
        </w:rPr>
        <w:t xml:space="preserve">PROPOSTA PENDENTE DE DELIBERAÇÃO DO CONDEG — muda regra de mérito em relação à versão em consulta: restringe o Comandante de Socorro à Capital/1º GBM e inclui Capitães; a versão em consulta prevê o serviço no quartel de cada OBM (se-art-40/42) e só subalternos e Aspirantes (se-art-39).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49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 XVII (acompanhar militar detido, inclusive da reserva remunerada): conferir com a Corregedoria.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Socorro:</w:t>
            </w:r>
          </w:p>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w:t>
            </w:r>
          </w:p>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 e; e</w:t>
            </w:r>
          </w:p>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48 (consulta) → Art. 50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49 (consulta) → Art. 51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pelo Ten. Tiago no Portal de Legislação CBM (17-18/08/2026)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no RISG/EB quando essas funções forem equiparadas.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neste Regulamento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Excluir (Ten. Tiago, 18/08) — duplica se-art-42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OBM com abrangência em toda sua área de jurisdição.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Excluir (Ten. Tiago, 18/08) — duplica se-art-43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Art. 55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fora do mês devem ser solicitadas com antecedência e devidamente motivadas para análise do comandante da OBM.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fora do mês devem ser solicitadas com antecedência e devidamente motivadas para análise do comandante da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57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77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SAMU sempre que o acidente, pela sua gravidade, envolva o transporte de vítimas;</w:t>
            </w:r>
          </w:p>
          <w:p>
            <w:pPr>
              <w:spacing w:after="0"/>
            </w:pPr>
            <w:r>
              <w:rPr>
                <w:rFonts w:ascii="Times New Roman" w:cs="Times New Roman" w:eastAsia="Times New Roman" w:hAnsi="Times New Roman"/>
                <w:b w:val="false"/>
                <w:bCs w:val="false"/>
                <w:sz w:val="20"/>
                <w:szCs w:val="20"/>
              </w:rPr>
              <w:t xml:space="preserve">X - solicitar a presença da companhia responsável pela manutenção de elevadores, sempre que neste ocorrer defeito ou acidentes envolvendo vítimas;</w:t>
            </w:r>
          </w:p>
          <w:p>
            <w:pPr>
              <w:spacing w:after="0"/>
            </w:pPr>
            <w:r>
              <w:rPr>
                <w:rFonts w:ascii="Times New Roman" w:cs="Times New Roman" w:eastAsia="Times New Roman" w:hAnsi="Times New Roman"/>
                <w:b w:val="false"/>
                <w:bCs w:val="false"/>
                <w:sz w:val="20"/>
                <w:szCs w:val="20"/>
              </w:rPr>
              <w:t xml:space="preserve">XI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XII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XIII - solicitar os órgãos ambientais IBAMA e ou SEDAM nos acidentes contra o meio ambiente.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SAMU sempre que o acidente, pela sua gravidade, envolva o transporte de vítimas;</w:t>
            </w:r>
          </w:p>
          <w:p>
            <w:pPr>
              <w:spacing w:after="0"/>
            </w:pPr>
            <w:r>
              <w:rPr>
                <w:rFonts w:ascii="Times New Roman" w:cs="Times New Roman" w:eastAsia="Times New Roman" w:hAnsi="Times New Roman"/>
                <w:b w:val="false"/>
                <w:bCs w:val="false"/>
                <w:sz w:val="20"/>
                <w:szCs w:val="20"/>
              </w:rPr>
              <w:t xml:space="preserve">X - solicitar a presença da companhia responsável pela manutenção de elevadores, sempre que neste ocorrer defeito ou acidentes envolvendo vítimas;</w:t>
            </w:r>
          </w:p>
          <w:p>
            <w:pPr>
              <w:spacing w:after="0"/>
            </w:pPr>
            <w:r>
              <w:rPr>
                <w:rFonts w:ascii="Times New Roman" w:cs="Times New Roman" w:eastAsia="Times New Roman" w:hAnsi="Times New Roman"/>
                <w:b w:val="false"/>
                <w:bCs w:val="false"/>
                <w:sz w:val="20"/>
                <w:szCs w:val="20"/>
              </w:rPr>
              <w:t xml:space="preserve">XI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XII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XIII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89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substituição de guarnições ou socorros por integrantes da reserva operacional deverá obedecer a capacidade de emprego dos materiais existentes nas viaturas, evitando o emprego desnecessário de bombeiros militares.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substituição de guarnições ou socorros por integrantes da reserva operacional deverá obedecer a capacidade de emprego dos materiais existentes nas viaturas, evitando o emprego desnecessário de bombeiros militares.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154→Art. 154, Art. 155→Art. 155, Art. 156→Art. 156, Art. 157→Art. 157.</w:t>
      </w: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96→Art. 96, Art. 97→Art. 97, Art. 98→Art. 98, Art. 99→Art. 99, Art. 100→Art. 100, Art. 101→Art. 101, Art. 102→Art. 102, Art. 103→Art. 103, Art. 104→Art. 104, Art. 105→Art. 105, Art. 106→Art. 106, Art. 107→Art. 107, Art. 108→Art. 108, Art. 109→Art. 109, Art. 110→Art. 110, Art. 111→Art. 111, Art. 112→Art. 112, Art. 113→Art. 113, Art. 114→Art. 114, Art. 115→Art. 115, Art. 116→Art. 116, Art. 117→Art. 117, Art. 118→Art. 118, Art. 119→Art. 119, Art. 121→Art. 121, Art. 122→Art. 122, Art. 124→Art. 124, Art. 126→Art. 126, Art. 128→Art. 128, Art. 129→Art. 129, Art. 130→Art. 130, Art. 131→Art. 131, Art. 134→Art. 134, Art. 135→Art. 135, Art. 136→Art. 136, Art. 137→Art. 137, Art. 138→Art. 138, Art. 139→Art. 139, Art. 141→Art. 141, Art. 142→Art. 142, Art. 143→Art. 143, Art. 144→Art. 144, Art. 145→Art. 145, Art. 146→Art. 146, Art. 147→Art. 147, Art. 148→Art. 148, Art. 150→Art. 150, Art. 151→Art. 151, Art. 152→Art. 152, Art. 153→Art. 153.</w:t>
      </w:r>
    </w:p>
    <w:p>
      <w:pPr>
        <w:spacing w:after="40" w:line="360"/>
        <w:jc w:val="both"/>
      </w:pPr>
      <w:r>
        <w:rPr>
          <w:rFonts w:ascii="Times New Roman" w:cs="Times New Roman" w:eastAsia="Times New Roman" w:hAnsi="Times New Roman"/>
          <w:b/>
          <w:bCs/>
          <w:i w:val="false"/>
          <w:iCs w:val="false"/>
          <w:sz w:val="20"/>
          <w:szCs w:val="20"/>
        </w:rPr>
        <w:t xml:space="preserve">Art. 120 (consulta) → Art. 120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123 (consulta) → Art. 123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125 (consulta) → Art. 125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estar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127 (consulta) → Art. 127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à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à Central Integrada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132 (consulta) → Art. 132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133 (consulta) → Art. 133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guarnição ao regressar de uma ocorrência deverá imediatamente apresentar-se ao Chefe da Prontidão, relatando os fatos ocorridos durante a operação, lembrando de informar à Central Integrada de Operações o desfecho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guarnição ao regressar de uma ocorrência deverá imediatamente apresentar-se ao Chefe da Prontidão, relatando os fatos ocorridos durante a operação, lembrando de informar à Central Integrada de Operações o desfecho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140 (consulta) → Art. 140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Caso necessário, o militar da Reserva Técnica poderá compor a escala de ronda do quartel. Neste caso o militar deverá trajar o uniforme de prontidão 4ºA.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Caso necessário, o militar da Reserva Técnica poderá compor a escala de ronda do quartel. Neste caso o militar deverá trajar o uniforme de prontidão 4ºA.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149 (consulta) → Art. 149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154→Art. 154, Art. 155→Art. 155, Art. 156→Art. 156, Art. 157→Art. 157, Art. 158→Art. 158, Art. 159→Art. 159, Art. 160→Art. 160, Art. 161→Art. 161, Art. 162→Art. 162, Art. 163→Art. 163, Art. 164→Art. 164, Art. 165→Art. 165, Art. 166→Art. 166, Art. 167→Art. 167, Art. 168→Art. 168.</w:t>
      </w: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120" w:line="360"/>
        <w:jc w:val="both"/>
      </w:pPr>
      <w:r>
        <w:rPr>
          <w:rFonts w:ascii="Times New Roman" w:cs="Times New Roman" w:eastAsia="Times New Roman" w:hAnsi="Times New Roman"/>
          <w:b w:val="false"/>
          <w:bCs w:val="false"/>
          <w:i/>
          <w:iCs/>
          <w:sz w:val="20"/>
          <w:szCs w:val="20"/>
        </w:rPr>
        <w:t xml:space="preserve">Sem alteração: Art. 170→Art. 170.</w:t>
      </w:r>
    </w:p>
    <w:p>
      <w:pPr>
        <w:spacing w:after="40" w:line="360"/>
        <w:jc w:val="both"/>
      </w:pPr>
      <w:r>
        <w:rPr>
          <w:rFonts w:ascii="Times New Roman" w:cs="Times New Roman" w:eastAsia="Times New Roman" w:hAnsi="Times New Roman"/>
          <w:b/>
          <w:bCs/>
          <w:i w:val="false"/>
          <w:iCs w:val="false"/>
          <w:sz w:val="20"/>
          <w:szCs w:val="20"/>
        </w:rPr>
        <w:t xml:space="preserve">Art. 169 (consulta) → Art. 169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Grupamentos de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171 (consulta) → Art. 171 (atual) — Corrigido nas duas versões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2026-09-14T14:11:53.075Z</dcterms:created>
  <dcterms:modified xsi:type="dcterms:W3CDTF">2026-09-14T14:11:53.075Z</dcterms:modified>
</cp:coreProperties>
</file>

<file path=docProps/custom.xml><?xml version="1.0" encoding="utf-8"?>
<Properties xmlns="http://schemas.openxmlformats.org/officeDocument/2006/custom-properties" xmlns:vt="http://schemas.openxmlformats.org/officeDocument/2006/docPropsVTypes"/>
</file>