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Quadro de análise e aplicação das sugestões —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Pareceres e textos finais registrados no Portal de Legislação CBM</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Este quadro consolida, artigo a artigo, as 271 sugestões recebidas sobre a minuta em consulta e o tratamento dado a cada uma no portal: 0 acolhida(s) como relevante(s), 0 descartada(s) e 271 ainda sem parecer. Para cada artigo consta a situação do texto final (redigido, conferido sem alteração, suprimido ou em aberto). O parecer é registrado pelo administrador no balão de cada sugestão (✅ relevante / ⛔ descartar) e o texto final no campo "Redação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2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Situação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Quantidade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acolhidas (relevantes)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descartadas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texto final redigido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suprimidos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conferidos sem alteração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em aberto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8</w:t>
            </w:r>
          </w:p>
        </w:tc>
      </w:tr>
    </w:tbl>
    <w:p>
      <w:r>
        <w:br w:type="page"/>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40" w:line="360"/>
        <w:jc w:val="both"/>
      </w:pPr>
      <w:r>
        <w:rPr>
          <w:rFonts w:ascii="Times New Roman" w:cs="Times New Roman" w:eastAsia="Times New Roman" w:hAnsi="Times New Roman"/>
          <w:b/>
          <w:bCs/>
          <w:i w:val="false"/>
          <w:iCs w:val="false"/>
          <w:sz w:val="20"/>
          <w:szCs w:val="20"/>
        </w:rPr>
        <w:t xml:space="preserve">Art. 3º — Compete ao Corpo de Bombeiros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4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6º — Compete ao Chefe da Seção de Pessoal:</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7º — Compete ao Chefe da Seção Administrativa: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8º — Compete ao Chefe da Seção de Informática: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9º — Compete ao Chefe da Seção de Correição:</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40" w:line="360"/>
        <w:jc w:val="both"/>
      </w:pPr>
      <w:r>
        <w:rPr>
          <w:rFonts w:ascii="Times New Roman" w:cs="Times New Roman" w:eastAsia="Times New Roman" w:hAnsi="Times New Roman"/>
          <w:b/>
          <w:bCs/>
          <w:i w:val="false"/>
          <w:iCs w:val="false"/>
          <w:sz w:val="20"/>
          <w:szCs w:val="20"/>
        </w:rPr>
        <w:t xml:space="preserve">Art. 24 — São objetivos do presente Regulamento:</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 Visando a otimização do serviço diário, a distribuição dos militares de serviço se dará de acordo com as seguintes funções: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300"/>
        <w:gridCol w:w="1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Quadro de análise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2026-09-14T14:19:37.540Z</dcterms:created>
  <dcterms:modified xsi:type="dcterms:W3CDTF">2026-09-14T14:19:37.540Z</dcterms:modified>
</cp:coreProperties>
</file>

<file path=docProps/custom.xml><?xml version="1.0" encoding="utf-8"?>
<Properties xmlns="http://schemas.openxmlformats.org/officeDocument/2006/custom-properties" xmlns:vt="http://schemas.openxmlformats.org/officeDocument/2006/docPropsVTypes"/>
</file>