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Quadro de análise e aplicação das sugestões — Minuta do Regulamento de Serviço</w:t>
      </w:r>
    </w:p>
    <w:p>
      <w:pPr>
        <w:spacing w:after="0" w:before="0"/>
        <w:jc w:val="center"/>
      </w:pPr>
      <w:r>
        <w:rPr>
          <w:rFonts w:ascii="Times New Roman" w:cs="Times New Roman" w:eastAsia="Times New Roman" w:hAnsi="Times New Roman"/>
          <w:b w:val="false"/>
          <w:bCs w:val="false"/>
          <w:i/>
          <w:iCs/>
          <w:sz w:val="22"/>
          <w:szCs w:val="22"/>
        </w:rPr>
        <w:t xml:space="preserve">Pareceres e textos finais registrados no Portal de Legislação CBM</w:t>
      </w:r>
    </w:p>
    <w:p>
      <w:pPr>
        <w:spacing w:after="480" w:before="0"/>
        <w:jc w:val="center"/>
      </w:pPr>
      <w:r>
        <w:rPr>
          <w:rFonts w:ascii="Times New Roman" w:cs="Times New Roman" w:eastAsia="Times New Roman" w:hAnsi="Times New Roman"/>
          <w:b w:val="false"/>
          <w:bCs w:val="false"/>
          <w:i/>
          <w:iCs/>
          <w:sz w:val="22"/>
          <w:szCs w:val="22"/>
        </w:rPr>
        <w:t xml:space="preserve">15 de setembro de 2026</w:t>
      </w:r>
    </w:p>
    <w:p>
      <w:pPr>
        <w:spacing w:after="200" w:line="360"/>
        <w:ind w:firstLine="708"/>
        <w:jc w:val="both"/>
      </w:pPr>
      <w:r>
        <w:rPr>
          <w:rFonts w:ascii="Times New Roman" w:cs="Times New Roman" w:eastAsia="Times New Roman" w:hAnsi="Times New Roman"/>
          <w:b w:val="false"/>
          <w:bCs w:val="false"/>
          <w:i w:val="false"/>
          <w:iCs w:val="false"/>
          <w:sz w:val="22"/>
          <w:szCs w:val="22"/>
        </w:rPr>
        <w:t xml:space="preserve">Este quadro consolida, artigo a artigo, as 271 sugestões recebidas dos militares consultados sobre a minuta em consulta e o tratamento dado a cada uma: o que a versão atual da minuta fez com o artigo (271 sugestões sobre artigos alterados, 0 sobre artigos mantidos) e o parecer registrado no portal (0 acolhida(s) como relevante(s), 0 descartada(s) e 271 ainda sem parecer). Para cada artigo consta também a situação do texto final (redigido, conferido sem alteração, suprimido ou em aberto). O parecer é registrado pelo administrador no balão de cada sugestão (✅ relevante / ⛔ descartar) e o texto final no campo "Redação final".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0"/>
        <w:gridCol w:w="1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 dada pela curadoria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Sugestões</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197</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74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000"/>
        <w:gridCol w:w="23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Situação no portal</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Quantidade</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acolhidas (relevantes)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Sugestões descartadas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271</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sugestão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14</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com texto final redigido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suprimidos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0</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conferidos sem alteração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6</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Artigos em aberto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8</w:t>
            </w:r>
          </w:p>
        </w:tc>
      </w:tr>
    </w:tbl>
    <w:p>
      <w:r>
        <w:br w:type="page"/>
      </w:r>
    </w:p>
    <w:p>
      <w:pPr>
        <w:spacing w:after="80" w:before="240"/>
        <w:jc w:val="center"/>
      </w:pPr>
      <w:r>
        <w:rPr>
          <w:rFonts w:ascii="Times New Roman" w:cs="Times New Roman" w:eastAsia="Times New Roman" w:hAnsi="Times New Roman"/>
          <w:b/>
          <w:bCs/>
          <w:i w:val="false"/>
          <w:iCs w:val="false"/>
          <w:sz w:val="22"/>
          <w:szCs w:val="22"/>
        </w:rPr>
        <w:t xml:space="preserve">DAS DISPOSIÇÕES PRELIMINARES</w:t>
      </w:r>
    </w:p>
    <w:p>
      <w:pPr>
        <w:spacing w:after="40" w:line="360"/>
        <w:jc w:val="both"/>
      </w:pPr>
      <w:r>
        <w:rPr>
          <w:rFonts w:ascii="Times New Roman" w:cs="Times New Roman" w:eastAsia="Times New Roman" w:hAnsi="Times New Roman"/>
          <w:b/>
          <w:bCs/>
          <w:i w:val="false"/>
          <w:iCs w:val="false"/>
          <w:sz w:val="20"/>
          <w:szCs w:val="20"/>
        </w:rPr>
        <w:t xml:space="preserve">Art. 3º — Compete ao Corpo de Bombeiros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2º. Compete ao CBMRO, a execução das seguintes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a) em aglomerados urbanos;</w:t>
            </w:r>
          </w:p>
          <w:p>
            <w:pPr>
              <w:spacing w:after="0"/>
            </w:pPr>
            <w:r>
              <w:rPr>
                <w:rFonts w:ascii="Times New Roman" w:cs="Times New Roman" w:eastAsia="Times New Roman" w:hAnsi="Times New Roman"/>
                <w:b w:val="false"/>
                <w:bCs w:val="false"/>
                <w:sz w:val="20"/>
                <w:szCs w:val="20"/>
              </w:rPr>
              <w:t xml:space="preserve">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d) em áreas de interesse estratégico e econômico.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w:t>
            </w:r>
          </w:p>
          <w:p>
            <w:pPr>
              <w:spacing w:after="0"/>
            </w:pPr>
            <w:r>
              <w:rPr>
                <w:rFonts w:ascii="Times New Roman" w:cs="Times New Roman" w:eastAsia="Times New Roman" w:hAnsi="Times New Roman"/>
                <w:b w:val="false"/>
                <w:bCs w:val="false"/>
                <w:sz w:val="20"/>
                <w:szCs w:val="20"/>
              </w:rPr>
              <w:t xml:space="preserve">oferecendo condições de suporte básico de vida até uma unidade de saúde;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a) nos locais de sinistros ou de risco;</w:t>
            </w:r>
          </w:p>
          <w:p>
            <w:pPr>
              <w:spacing w:after="0"/>
            </w:pPr>
            <w:r>
              <w:rPr>
                <w:rFonts w:ascii="Times New Roman" w:cs="Times New Roman" w:eastAsia="Times New Roman" w:hAnsi="Times New Roman"/>
                <w:b w:val="false"/>
                <w:bCs w:val="false"/>
                <w:sz w:val="20"/>
                <w:szCs w:val="20"/>
              </w:rPr>
              <w:t xml:space="preserve">b) na fiscalização de empresas especializadas na produção e comercialização de produtos destinados</w:t>
            </w:r>
          </w:p>
          <w:p>
            <w:pPr>
              <w:spacing w:after="0"/>
            </w:pPr>
            <w:r>
              <w:rPr>
                <w:rFonts w:ascii="Times New Roman" w:cs="Times New Roman" w:eastAsia="Times New Roman" w:hAnsi="Times New Roman"/>
                <w:b w:val="false"/>
                <w:bCs w:val="false"/>
                <w:sz w:val="20"/>
                <w:szCs w:val="20"/>
              </w:rPr>
              <w:t xml:space="preserve">à prevenção de desastres e sinistros, à segurança contra incêndio e pânico em edificações, particularmente</w:t>
            </w:r>
          </w:p>
          <w:p>
            <w:pPr>
              <w:spacing w:after="0"/>
            </w:pPr>
            <w:r>
              <w:rPr>
                <w:rFonts w:ascii="Times New Roman" w:cs="Times New Roman" w:eastAsia="Times New Roman" w:hAnsi="Times New Roman"/>
                <w:b w:val="false"/>
                <w:bCs w:val="false"/>
                <w:sz w:val="20"/>
                <w:szCs w:val="20"/>
              </w:rPr>
              <w:t xml:space="preserve">quanto à recarga de extintores de incêndio;</w:t>
            </w:r>
          </w:p>
          <w:p>
            <w:pPr>
              <w:spacing w:after="0"/>
            </w:pPr>
            <w:r>
              <w:rPr>
                <w:rFonts w:ascii="Times New Roman" w:cs="Times New Roman" w:eastAsia="Times New Roman" w:hAnsi="Times New Roman"/>
                <w:b w:val="false"/>
                <w:bCs w:val="false"/>
                <w:sz w:val="20"/>
                <w:szCs w:val="20"/>
              </w:rPr>
              <w:t xml:space="preserve">c) na fiscalização do armazenamento, estocagem e transporte de cargas e produtos perigosos no</w:t>
            </w:r>
          </w:p>
          <w:p>
            <w:pPr>
              <w:spacing w:after="0"/>
            </w:pPr>
            <w:r>
              <w:rPr>
                <w:rFonts w:ascii="Times New Roman" w:cs="Times New Roman" w:eastAsia="Times New Roman" w:hAnsi="Times New Roman"/>
                <w:b w:val="false"/>
                <w:bCs w:val="false"/>
                <w:sz w:val="20"/>
                <w:szCs w:val="20"/>
              </w:rPr>
              <w:t xml:space="preserve">território do Estado de Rondônia;</w:t>
            </w:r>
          </w:p>
          <w:p>
            <w:pPr>
              <w:spacing w:after="0"/>
            </w:pPr>
            <w:r>
              <w:rPr>
                <w:rFonts w:ascii="Times New Roman" w:cs="Times New Roman" w:eastAsia="Times New Roman" w:hAnsi="Times New Roman"/>
                <w:b w:val="false"/>
                <w:bCs w:val="false"/>
                <w:sz w:val="20"/>
                <w:szCs w:val="20"/>
              </w:rPr>
              <w:t xml:space="preserve">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e) na fiscalização das instalações e medidas de segurança contra incêndio e pânico das edificações</w:t>
            </w:r>
          </w:p>
          <w:p>
            <w:pPr>
              <w:spacing w:after="0"/>
            </w:pPr>
            <w:r>
              <w:rPr>
                <w:rFonts w:ascii="Times New Roman" w:cs="Times New Roman" w:eastAsia="Times New Roman" w:hAnsi="Times New Roman"/>
                <w:b w:val="false"/>
                <w:bCs w:val="false"/>
                <w:sz w:val="20"/>
                <w:szCs w:val="20"/>
              </w:rPr>
              <w:t xml:space="preserve">residenciais multifamiliares, comerciais, industriais e de serviços em geral, inclusive, nos conjuntos</w:t>
            </w:r>
          </w:p>
          <w:p>
            <w:pPr>
              <w:spacing w:after="0"/>
            </w:pPr>
            <w:r>
              <w:rPr>
                <w:rFonts w:ascii="Times New Roman" w:cs="Times New Roman" w:eastAsia="Times New Roman" w:hAnsi="Times New Roman"/>
                <w:b w:val="false"/>
                <w:bCs w:val="false"/>
                <w:sz w:val="20"/>
                <w:szCs w:val="20"/>
              </w:rPr>
              <w:t xml:space="preserve">residenciais, condomínios fechados e loteamentos urbanizados, quando da construção, reforma,</w:t>
            </w:r>
          </w:p>
          <w:p>
            <w:pPr>
              <w:spacing w:after="0"/>
            </w:pPr>
            <w:r>
              <w:rPr>
                <w:rFonts w:ascii="Times New Roman" w:cs="Times New Roman" w:eastAsia="Times New Roman" w:hAnsi="Times New Roman"/>
                <w:b w:val="false"/>
                <w:bCs w:val="false"/>
                <w:sz w:val="20"/>
                <w:szCs w:val="20"/>
              </w:rPr>
              <w:t xml:space="preserve">ampliação e mudança de ocupação;</w:t>
            </w:r>
          </w:p>
          <w:p>
            <w:pPr>
              <w:spacing w:after="0"/>
            </w:pPr>
            <w:r>
              <w:rPr>
                <w:rFonts w:ascii="Times New Roman" w:cs="Times New Roman" w:eastAsia="Times New Roman" w:hAnsi="Times New Roman"/>
                <w:b w:val="false"/>
                <w:bCs w:val="false"/>
                <w:sz w:val="20"/>
                <w:szCs w:val="20"/>
              </w:rPr>
              <w:t xml:space="preserve">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g) na fiscalização das instalações e medidas de segurança contra incêndio e acidentes em estruturas</w:t>
            </w:r>
          </w:p>
          <w:p>
            <w:pPr>
              <w:spacing w:after="0"/>
            </w:pPr>
            <w:r>
              <w:rPr>
                <w:rFonts w:ascii="Times New Roman" w:cs="Times New Roman" w:eastAsia="Times New Roman" w:hAnsi="Times New Roman"/>
                <w:b w:val="false"/>
                <w:bCs w:val="false"/>
                <w:sz w:val="20"/>
                <w:szCs w:val="20"/>
              </w:rPr>
              <w:t xml:space="preserve">temporárias, tais como, arquibancadas e parques de diversões.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a) preventiva, quanto a perigo potencial de incêndios e acidentes em edificações e estruturas</w:t>
            </w:r>
          </w:p>
          <w:p>
            <w:pPr>
              <w:spacing w:after="0"/>
            </w:pPr>
            <w:r>
              <w:rPr>
                <w:rFonts w:ascii="Times New Roman" w:cs="Times New Roman" w:eastAsia="Times New Roman" w:hAnsi="Times New Roman"/>
                <w:b w:val="false"/>
                <w:bCs w:val="false"/>
                <w:sz w:val="20"/>
                <w:szCs w:val="20"/>
              </w:rPr>
              <w:t xml:space="preserve">temporárias;</w:t>
            </w:r>
          </w:p>
          <w:p>
            <w:pPr>
              <w:spacing w:after="0"/>
            </w:pPr>
            <w:r>
              <w:rPr>
                <w:rFonts w:ascii="Times New Roman" w:cs="Times New Roman" w:eastAsia="Times New Roman" w:hAnsi="Times New Roman"/>
                <w:b w:val="false"/>
                <w:bCs w:val="false"/>
                <w:sz w:val="20"/>
                <w:szCs w:val="20"/>
              </w:rPr>
              <w:t xml:space="preserve">b) nos locais de sinistros e explosão relacionadas com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realizar serviços de vistorias em edificações;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w:t>
            </w:r>
          </w:p>
          <w:p>
            <w:pPr>
              <w:spacing w:after="0"/>
            </w:pPr>
            <w:r>
              <w:rPr>
                <w:rFonts w:ascii="Times New Roman" w:cs="Times New Roman" w:eastAsia="Times New Roman" w:hAnsi="Times New Roman"/>
                <w:b w:val="false"/>
                <w:bCs w:val="false"/>
                <w:sz w:val="20"/>
                <w:szCs w:val="20"/>
              </w:rPr>
              <w:t xml:space="preserve">pânico no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w:t>
            </w:r>
          </w:p>
          <w:p>
            <w:pPr>
              <w:spacing w:after="0"/>
            </w:pPr>
            <w:r>
              <w:rPr>
                <w:rFonts w:ascii="Times New Roman" w:cs="Times New Roman" w:eastAsia="Times New Roman" w:hAnsi="Times New Roman"/>
                <w:b w:val="false"/>
                <w:bCs w:val="false"/>
                <w:sz w:val="20"/>
                <w:szCs w:val="20"/>
              </w:rPr>
              <w:t xml:space="preserve">condições de segurança para funcionamento.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w:t>
            </w:r>
          </w:p>
          <w:p>
            <w:pPr>
              <w:spacing w:after="0"/>
            </w:pPr>
            <w:r>
              <w:rPr>
                <w:rFonts w:ascii="Times New Roman" w:cs="Times New Roman" w:eastAsia="Times New Roman" w:hAnsi="Times New Roman"/>
                <w:b w:val="false"/>
                <w:bCs w:val="false"/>
                <w:sz w:val="20"/>
                <w:szCs w:val="20"/>
              </w:rPr>
              <w:t xml:space="preserve">Executivo, Legislativo e Judiciário do Estado de Rondônia;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w:t>
            </w:r>
          </w:p>
          <w:p>
            <w:pPr>
              <w:spacing w:after="0"/>
            </w:pPr>
            <w:r>
              <w:rPr>
                <w:rFonts w:ascii="Times New Roman" w:cs="Times New Roman" w:eastAsia="Times New Roman" w:hAnsi="Times New Roman"/>
                <w:b w:val="false"/>
                <w:bCs w:val="false"/>
                <w:sz w:val="20"/>
                <w:szCs w:val="20"/>
              </w:rPr>
              <w:t xml:space="preserve">acidentes ou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w:t>
            </w:r>
          </w:p>
          <w:p>
            <w:pPr>
              <w:spacing w:after="0"/>
            </w:pPr>
            <w:r>
              <w:rPr>
                <w:rFonts w:ascii="Times New Roman" w:cs="Times New Roman" w:eastAsia="Times New Roman" w:hAnsi="Times New Roman"/>
                <w:b w:val="false"/>
                <w:bCs w:val="false"/>
                <w:sz w:val="20"/>
                <w:szCs w:val="20"/>
              </w:rPr>
              <w:t xml:space="preserve">Rondônia dentro de sua área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w:t>
            </w:r>
          </w:p>
          <w:p>
            <w:pPr>
              <w:spacing w:after="0"/>
            </w:pPr>
            <w:r>
              <w:rPr>
                <w:rFonts w:ascii="Times New Roman" w:cs="Times New Roman" w:eastAsia="Times New Roman" w:hAnsi="Times New Roman"/>
                <w:b w:val="false"/>
                <w:bCs w:val="false"/>
                <w:sz w:val="20"/>
                <w:szCs w:val="20"/>
              </w:rPr>
              <w:t xml:space="preserve">integrantes ou contra a instituição Corpo de Bombeiros Militar ou sob sua administração, nos termos da</w:t>
            </w:r>
          </w:p>
          <w:p>
            <w:pPr>
              <w:spacing w:after="0"/>
            </w:pPr>
            <w:r>
              <w:rPr>
                <w:rFonts w:ascii="Times New Roman" w:cs="Times New Roman" w:eastAsia="Times New Roman" w:hAnsi="Times New Roman"/>
                <w:b w:val="false"/>
                <w:bCs w:val="false"/>
                <w:sz w:val="20"/>
                <w:szCs w:val="20"/>
              </w:rPr>
              <w:t xml:space="preserve">legislação federal específica;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w:t>
            </w:r>
          </w:p>
          <w:p>
            <w:pPr>
              <w:spacing w:after="0"/>
            </w:pPr>
            <w:r>
              <w:rPr>
                <w:rFonts w:ascii="Times New Roman" w:cs="Times New Roman" w:eastAsia="Times New Roman" w:hAnsi="Times New Roman"/>
                <w:b w:val="false"/>
                <w:bCs w:val="false"/>
                <w:sz w:val="20"/>
                <w:szCs w:val="20"/>
              </w:rPr>
              <w:t xml:space="preserve">ambiente, bem como ações de proteção e promoção do bem-estar da coletividade e dos direitos, garantias</w:t>
            </w:r>
          </w:p>
          <w:p>
            <w:pPr>
              <w:spacing w:after="0"/>
            </w:pPr>
            <w:r>
              <w:rPr>
                <w:rFonts w:ascii="Times New Roman" w:cs="Times New Roman" w:eastAsia="Times New Roman" w:hAnsi="Times New Roman"/>
                <w:b w:val="false"/>
                <w:bCs w:val="false"/>
                <w:sz w:val="20"/>
                <w:szCs w:val="20"/>
              </w:rPr>
              <w:t xml:space="preserve">e liberdades do cidadão;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w:t>
            </w:r>
          </w:p>
          <w:p>
            <w:pPr>
              <w:spacing w:after="0"/>
            </w:pPr>
            <w:r>
              <w:rPr>
                <w:rFonts w:ascii="Times New Roman" w:cs="Times New Roman" w:eastAsia="Times New Roman" w:hAnsi="Times New Roman"/>
                <w:b w:val="false"/>
                <w:bCs w:val="false"/>
                <w:sz w:val="20"/>
                <w:szCs w:val="20"/>
              </w:rPr>
              <w:t xml:space="preserve">obtenção de produtos e processos que permitam o desenvolvimento de sistemas de segurança contra</w:t>
            </w:r>
          </w:p>
          <w:p>
            <w:pPr>
              <w:spacing w:after="0"/>
            </w:pPr>
            <w:r>
              <w:rPr>
                <w:rFonts w:ascii="Times New Roman" w:cs="Times New Roman" w:eastAsia="Times New Roman" w:hAnsi="Times New Roman"/>
                <w:b w:val="false"/>
                <w:bCs w:val="false"/>
                <w:sz w:val="20"/>
                <w:szCs w:val="20"/>
              </w:rPr>
              <w:t xml:space="preserve">incêndio e pânico;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w:t>
            </w:r>
          </w:p>
          <w:p>
            <w:pPr>
              <w:spacing w:after="0"/>
            </w:pPr>
            <w:r>
              <w:rPr>
                <w:rFonts w:ascii="Times New Roman" w:cs="Times New Roman" w:eastAsia="Times New Roman" w:hAnsi="Times New Roman"/>
                <w:b w:val="false"/>
                <w:bCs w:val="false"/>
                <w:sz w:val="20"/>
                <w:szCs w:val="20"/>
              </w:rPr>
              <w:t xml:space="preserve">congêneres, no âmbito do Estado de Rondônia; (Redação dada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planejar, elaborar, gerenciar e executar o orçamento; e (Redação dada pela Lei n. 3.413,</w:t>
            </w:r>
          </w:p>
          <w:p>
            <w:pPr>
              <w:spacing w:after="0"/>
            </w:pPr>
            <w:r>
              <w:rPr>
                <w:rFonts w:ascii="Times New Roman" w:cs="Times New Roman" w:eastAsia="Times New Roman" w:hAnsi="Times New Roman"/>
                <w:b w:val="false"/>
                <w:bCs w:val="false"/>
                <w:sz w:val="20"/>
                <w:szCs w:val="20"/>
              </w:rPr>
              <w:t xml:space="preserve">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exercer outras atividades correlatas. (Inciso acrescido pela Lei n. 3.413, de 25/08/2014)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DAS ATRIBUIÇÕES DAS FUNÇÕES</w:t>
      </w:r>
    </w:p>
    <w:p>
      <w:pPr>
        <w:spacing w:after="40" w:line="360"/>
        <w:jc w:val="both"/>
      </w:pPr>
      <w:r>
        <w:rPr>
          <w:rFonts w:ascii="Times New Roman" w:cs="Times New Roman" w:eastAsia="Times New Roman" w:hAnsi="Times New Roman"/>
          <w:b/>
          <w:bCs/>
          <w:i w:val="false"/>
          <w:iCs w:val="false"/>
          <w:sz w:val="20"/>
          <w:szCs w:val="20"/>
        </w:rPr>
        <w:t xml:space="preserve">Art. 4º — Compete ao Comandante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Acredito ser pertinente trazer a redação do Art. 14 da lei 2204.</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35. O Comando Operacional de Bombeiros é Órgão responsável pela execução das atividadesfins da Corporação e de Defesa Civil, subordinadas operacionalmente ao Subcomandante-Geral e</w:t>
            </w:r>
          </w:p>
          <w:p>
            <w:pPr>
              <w:spacing w:after="0"/>
            </w:pPr>
            <w:r>
              <w:rPr>
                <w:rFonts w:ascii="Times New Roman" w:cs="Times New Roman" w:eastAsia="Times New Roman" w:hAnsi="Times New Roman"/>
                <w:b w:val="false"/>
                <w:bCs w:val="false"/>
                <w:sz w:val="20"/>
                <w:szCs w:val="20"/>
              </w:rPr>
              <w:t xml:space="preserve">administrativamente ao Chefe do Estado-Maior-Geral.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O Comando Operacional de Bombeiro Militar tem a seguinte estrutura: (Redação</w:t>
            </w:r>
          </w:p>
          <w:p>
            <w:pPr>
              <w:spacing w:after="0"/>
            </w:pPr>
            <w:r>
              <w:rPr>
                <w:rFonts w:ascii="Times New Roman" w:cs="Times New Roman" w:eastAsia="Times New Roman" w:hAnsi="Times New Roman"/>
                <w:b w:val="false"/>
                <w:bCs w:val="false"/>
                <w:sz w:val="20"/>
                <w:szCs w:val="20"/>
              </w:rPr>
              <w:t xml:space="preserve">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Comandante;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Adjunto;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Seção de Pessoal;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Seção Administrativa;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Seção de Informática;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Seção de Correição;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Seção de Planejamento Operacional e Controle de Resultados; (Redação dada pela Lei nº</w:t>
            </w:r>
          </w:p>
          <w:p>
            <w:pPr>
              <w:spacing w:after="0"/>
            </w:pPr>
            <w:r>
              <w:rPr>
                <w:rFonts w:ascii="Times New Roman" w:cs="Times New Roman" w:eastAsia="Times New Roman" w:hAnsi="Times New Roman"/>
                <w:b w:val="false"/>
                <w:bCs w:val="false"/>
                <w:sz w:val="20"/>
                <w:szCs w:val="20"/>
              </w:rPr>
              <w:t xml:space="preserve">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Agência Regional de Inteligência; e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Órgãos de Execução Operacional. (Redação dada pela Lei nº 4.303, de 25/0/2018)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e acompanhar a execução das atividades operacionais desenvolvidas pelas unidades subordinadas, avaliando o emprego dos recursos e os resultados alcançados;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propor ao Subcomandante-Geral a movimentação de praças quando dela decorrer ônus para a Corporação, observadas as competências estabelecidas no art. 13 do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coordenar o apoio operacional entre as unidades subordinadas, especialmente nas ocorrências de maior vulto, operações extraordinárias, eventos especiais e demais situações que excedam a capacidade operacional de determinada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acionar ou solicitar o acionamento dos escalões superiores da cadeia de comando nas ocorrências cuja natureza, magnitude ou repercussão ultrapasse a capacidade de resposta das unidades sob sua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ao Comando-Geral medidas destinadas ao aperfeiçoamento da estrutura operacional, inclusive a criação, transformação, extinção, instalação ou alteração da área de atuação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promover a integração entre os Grupamentos de Bombeiro Militar e demais unidades subordinadas, buscando a uniformidade de procedimentos, a racionalização do emprego dos recursos e a melhoria da resposta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presidir as solenidades de passagem de comando dos Grupamentos de Bombeiro Militar subordinados ao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representar o Comandante-Geral em solenidades, reuniões, eventos e demais atos institucionais,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VIII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cumprir fielmente as determinações emanadas dos escalões superiores, observadas as competências e atribuições estabelecidas na legislação e nos regulamentos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XII a XV citam o Decreto nº 8.134/1997 (Regulamento de Movimentação) — conferir vigência e teor do art. 13 antes da consolidação. Incisos IX e X mantidos da versão em consulta.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5º — Compete ao Adjunto do Comando Operacional de Bombeiros: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IX e X mantidos da versão em consulta (substituição eventual do titular).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6º — Compete ao Chefe da Seção de Pessoal:</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6º Compete ao Chefe da Seção de Pessoal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 distribuição do efetivo das Organizações Bombeiro Militar subordinadas, identificando déficits, excedentes e necessidades de recompletamento, para subsidiar as decisões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e manter registro das apresentações, inclusões, exclusões, transferências, afastamentos, férias, licenças e demais alterações funcionais dos militares pertencentes ao efetivo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e levantamentos relativos à distribuição do efetivo das unidades subordinadas, submetendo ao Comandante Operacional informações destinadas a subsidiar as decisões relativas à movimentação e ao emprego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acompanhar as demandas de pessoal encaminhadas pelas Organizações Bombeiro Militar subordinadas, submetendo ao Comandante Operacional aquelas que dependam de providências dos escalões superiores ou da Coordenadoria de Pessoal;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e manter atualizados os mapas, quadros e relatórios relativos ao efetivo do Comando Operacional, bem como consolidar, quando necessário, informações de pessoal provenientes das unidades subordinadas;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pessoal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inciso II da sugestão original não foi enviado (a numeração pulou de I para III); renumerado. Inciso II cita o Decreto nº 8.134/1997 — conferir.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7º — Compete ao Chefe da Seção Administrativa: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7º Compete ao Chefe da Seção Administrativa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8º — Compete ao Chefe da Seção de Informática:</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8º Compete ao Chefe da Seção de Informática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9º — Compete ao Chefe da Seção de Correição:</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9º Compete ao Chefe da Seção de Correição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 — Compete ao Chefe da Seção de Planejamento Operacional e Controle de Resultados:</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10. Compete ao Chefe da Seção de Planejamento Operacional e Controle de Resultados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 — Compete ao Chefe da Agência Regional de Inteligência:</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11. Compete ao Chefe da Agência Regional de Inteligência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Incisos II e VI atribuem à ARI o trâmite de armamento (aquisição, transferência, restrição de porte) — confirmar com a Diretoria de Inteligência e a Diretoria de Logística.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 — Compete ao Comandante de 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que o art. 47, § 1º, da Lei nº 2.204/2009, com redação dada pela Lei nº 4.303/2018, estabelece que o Grupamento de Bombeiro Militar é subordinado diretamente ao Comando Operacional de Bombeiro Militar, bem como define sua estrutura básica de Comando e Estado-Maior, entende-se pertinente que a presente proposta de regulamentação contemple também o detalhamento das atribuições dos órgãos e funções que integram os Grupamentos, de modo a estabelecer com maior clareza as responsabilidades de cada nível da estrutura operacional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Nesse sentido, sugere-se que sejam destrinchadas as atribuições do Comandante, Subcomandante e Auxiliares, bem como das Seções que compõem o Estado-Maior do Grupamento — B1 (Pessoal), B2 (Inteligência), B3 (Operações), B4 (Logística), B5 (Relações Externas) e B6 (Justiça e Disciplina) —, observando-se as competências próprias dos órgãos centrais e dos escalões superiores, de forma a evitar sobreposição de atribuições e, ao mesmo tempo, conferir maior autonomia e clareza à execução das atividades no âmbito de cada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Tal regulamentação permitirá estabelecer de maneira mais precisa a relação funcional entre os Grupamentos e o respectivo Comando Operacional, delimitando as matérias que devem ser resolvidas no âmbito da própria OBM e aquelas que, por sua natureza, abrangência ou competência, devam ser submetidas ao COB ou aos escalões superiores. A medida contribuirá, ainda, para a padronização dos procedimentos entre os Grupamentos, para o fortalecimento da cadeia de comando e para uma distribuição mais objetiva das responsabilidades administrativas e operacionais previstas na estrutura estabelecida pela Lei nº 2.204/2009.</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Grupamento de Bombeiro Militar; (Redação dada pela Lei nº 4.303, de 25/06/2018). .......................................................................................</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Grupamento de Bombeiros Militar, subordinado diretamente ao Comando Operacional de Bombeiro Militar, é organizado em Subgrupamentos de Bombeiros Militar, destacados ou não, que por sua vez, estruturam-se em Seção de Bombeiros, destacadas ou não, e possui a seguinte estrutura: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Comando: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Comandante;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Subcomandante;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Auxiliares;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Estado-Maior: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B1 (Pessoal);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 B2 (Inteligência);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 B3 (Operações);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 B4 (logística);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 B5 (Relações Externas); e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f) B6 (Seção de Justiça e Disciplina; (Redação dada pela Lei nº 4.303, de 25/06/2018)</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fim, considerando que a proposta de Regulamento de Serviço apresentada contempla, no âmbito do Grupamento de Bombeiro Militar, apenas as atribuições de seu Comandante, entende-se necessária a ampliação da regulamentação para alcançar as demais funções e seções que integram a estrutura do GBM prevista no art. 47, § 1º, da Lei nº 2.204/2009. Nesse sentido, mostra-se pertinente estabelecer e distribuir, de forma individualizada, as atribuições do Subcomandante, dos Auxiliares e das Seções que compõem o Estado-Maior do Grupamento — B1 (Pessoal), B2 (Inteligência), B3 (Operações), B4 (Logística), B5 (Relações Externas) e B6 (Justiça e Disciplina) —, de modo que o Regulamento discipline não apenas a função de comando, mas o funcionamento de toda a estrutura legalmente prevista para o Grupamento de Bombeiro Militar, delimitando competências, responsabilidades e os respectivos fluxos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das Subunidades subordinadas, podendo determinar seu emprego dentro da área de responsabilidade do Grupamento, conforme a necessidade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13 — Compete ao Comandante de Subgrupamento de Bombeiro Militar:</w:t>
      </w:r>
    </w:p>
    <w:p>
      <w:pPr>
        <w:spacing w:after="60" w:line="360"/>
        <w:jc w:val="both"/>
      </w:pPr>
      <w:r>
        <w:rPr>
          <w:rFonts w:ascii="Times New Roman" w:cs="Times New Roman" w:eastAsia="Times New Roman" w:hAnsi="Times New Roman"/>
          <w:b w:val="false"/>
          <w:bCs w:val="false"/>
          <w:i/>
          <w:iCs/>
          <w:sz w:val="20"/>
          <w:szCs w:val="20"/>
        </w:rPr>
        <w:t xml:space="preserve">Situação do texto final: Em aberto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Da mesma forma, considerando que a estrutura do Subgrupamento de Bombeiro Militar prevista na Lei nº 2.204/2009, com redação dada pela Lei nº 4.303/2018, compreende as funções de Comandante, Subcomandante e Auxiliares, entende-se adequada a regulamentação individualizada das atribuições correspondentes a cada uma dessas funções. A medida permitirá definir com maior precisão as responsabilidades e competências no âmbito da Subunidade, estabelecendo a adequada distribuição das atividades administrativas e operacionais e evitando a concentração de todas as atribuições na figura do Comandante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 Cel. propõe regulamentar também Subcomandante e Auxiliares do SGBM (LOB, Art. 47); redação ainda não existe.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80" w:before="240"/>
        <w:jc w:val="center"/>
      </w:pPr>
      <w:r>
        <w:rPr>
          <w:rFonts w:ascii="Times New Roman" w:cs="Times New Roman" w:eastAsia="Times New Roman" w:hAnsi="Times New Roman"/>
          <w:b/>
          <w:bCs/>
          <w:i w:val="false"/>
          <w:iCs w:val="false"/>
          <w:sz w:val="22"/>
          <w:szCs w:val="22"/>
        </w:rPr>
        <w:t xml:space="preserve">DO SERVIÇO OPERACIONAL</w:t>
      </w:r>
    </w:p>
    <w:p>
      <w:pPr>
        <w:spacing w:after="40" w:line="360"/>
        <w:jc w:val="both"/>
      </w:pPr>
      <w:r>
        <w:rPr>
          <w:rFonts w:ascii="Times New Roman" w:cs="Times New Roman" w:eastAsia="Times New Roman" w:hAnsi="Times New Roman"/>
          <w:b/>
          <w:bCs/>
          <w:i w:val="false"/>
          <w:iCs w:val="false"/>
          <w:sz w:val="20"/>
          <w:szCs w:val="20"/>
        </w:rPr>
        <w:t xml:space="preserve">Art. 24 — º São objetivos do presente Regulamento:</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24 º São objetivos do presente Regulamento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do Corpo de Bombeiros Militar, definindo os procedimentos funcionais correspondentes às respectivas esferas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da Corporação, estabelecendo os respectivos limites de atuação e prevenindo conflitos, sobreposições ou lacunas de atribuições;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observada a estrutura organizacional e a cadeia de comando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Subunidades e demais frações operacionais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adequar a atuação operacional das Organizações Bombeiro Militar às políticas, diretrizes e determinações emanadas do Comando-Geral e dos demais escalões competentes;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a padronização dos procedimentos operacionais e administrativos diretamente relacionados à execução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buscando o adequado emprego dos recursos humanos, materiais e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e os diferentes níveis da cadeia de comando, respeitadas as competências legalmente estabelecidas;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observados os limites de competência de cada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 — Objetivos generalizados em 15/09/2026 para alcançar também o serviço técnico (a Parte I da minuta publicável é comum aos dois serviços); inciso X acrescido. Texto de partida sugerido na consulta (RISD).</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 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25. Entende-se por política do serviço operacional o conjunto de princípios, objetivos e diretrizes destinados a orientar o planejamento, a organização, a execução e o aperfeiçoamento das atividades operacionais do Corpo de Bombeiros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reescrito na versão atual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 º Visando a otimização do serviço diário, a distribuição dos militares de serviço se dará de acordo com as seguintes funções:</w:t>
      </w:r>
    </w:p>
    <w:p>
      <w:pPr>
        <w:spacing w:after="60" w:line="360"/>
        <w:jc w:val="both"/>
      </w:pPr>
      <w:r>
        <w:rPr>
          <w:rFonts w:ascii="Times New Roman" w:cs="Times New Roman" w:eastAsia="Times New Roman" w:hAnsi="Times New Roman"/>
          <w:b w:val="false"/>
          <w:bCs w:val="false"/>
          <w:i/>
          <w:iCs/>
          <w:sz w:val="20"/>
          <w:szCs w:val="20"/>
        </w:rPr>
        <w:t xml:space="preserve">Situação do texto final: Conferido, sem alteração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3000"/>
        <w:gridCol w:w="2400"/>
        <w:gridCol w:w="100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Dispositivo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Autor</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Sugestão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Aplicação</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relação ao art. 26, observa-se que o dispositivo estabelece as funções integrantes do serviço operacional diário, dentre elas Superior de Dia, Comandante de Socorro, Oficial de Dia, Comandante de Guarnição e Condutor e Operador de Viaturas. Contudo, embora tais funções sejam expressamente reconhecidas pelo Regulamento, suas atribuições e responsabilidades não se encontram sistematizadas de maneira uniforme, estando, em alguns casos, previstas apenas de forma pontual e dispersa ao longo do texto, como se verifica, por exemplo, em relação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Considerando a própria sistemática adotada pelo Regulamento até este ponto, em que as funções integrantes da estrutura organizacional vêm sendo tratadas em dispositivos próprios, com a definição de suas respectivas competências, entende-se pertinente que igual metodologia seja empregada para as funções relacionadas no art. 26. Sugere-se, portanto, a criação de seções específicas para cada uma das funções ali elencadas, reunindo e organizando as disposições atualmente dispersas e estabelecendo, de forma objetiva, suas atribuições, responsabilidades, subordinação, área de atuação e limites de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caput</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medida mostra-se especialmente relevante para assegurar clareza na cadeia de comando do serviço operacional, permitindo distinguir as responsabilidades próprias do Superior de Dia, do Comandante de Socorro, do Oficial de Dia, do Comandante de Guarnição, do Condutor e Operador de Viaturas e das demais funções que venham a integrar o serviço diário. Além de conferir maior organização e coerência interna ao Regulamento, essa sistematização contribuirá para evitar lacunas, sobreposições e conflitos de atribuições, em consonância, inclusive, com os próprios objetivos estabelecidos no art. 24 da proposta.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Superior de Dia será estabelecido exclusivamente na Capital do Estado, em regime de sobreaviso de 24 (vinte e quatro) horas, concorrendo à respectiva escala os oficiais dos postos de Major BM e Tenente-Coronel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A atuação do Superior de Dia ficará circunscrita à Capital do Estado, observadas as competências próprias do Comando Operacional e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exercer a supervisão superior do serviço operacional na Capital durante o período para o qual estiver escalado, respeitadas as competências dos comandantes das Organizações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na Capital;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sediadas na Capital para o atendimento de ocorrências que demandem emprego integrado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Comandante de Socorro será realizado exclusivamente na Capital do Estado, em regime presencial de 24 (vinte e quatro) horas, sendo exercido por Aspirantes a Oficial BM e oficiais dos postos de Segundo-Tenente BM, Primeiro-Tenente BM e Capitão BM, regularmente escalados para a função.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Comandante de Socorro exercerá suas funções no âmbito do 1º Grupamento de Bombeiro Militar, observada a cadeia de comando operacional estabelecida neste Regulamento.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Durante o período de serviço, o Comandante de Socorro representará a autoridade do Comandante do 1º Grupamento de Bombeiro Militar perante a prontidão operacional, exercendo, nos limites de suas atribuições, as competências necessárias à coordenação e à continuidade do serviço, sem prejuízo das matérias reservadas ao Comandante da Unidade ou aos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Compete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coordenar, supervisionar e fiscalizar as atividades da prontidão operacional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realizar a passagem de serviço, tomando conhecimento das alterações existentes e transmitindo ao seu substituto as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supervisionar, juntamente com os Comandantes de Guarnição, a conferência das viaturas, materiais e equipamentos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verificar as condições de prontidão das guarnições, viaturas, equipamentos e demais recursos operacionais disponíveis;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verificar a disponibilidade e o correto emprego dos equipamentos de proteção individual pelo efetivo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ministrar ou coordenar as instruções destinadas à prontidão de serviço, observadas as orientações e o planejamento estabelecidos;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coordenar o emprego das guarnições e dos recursos operacionais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acompanhar as ocorrências em andamento e comparecer àquelas cuja natureza, complexidade ou magnitude exija sua presença;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exercer o comando das operações quando lhe couber, observadas a cadeia de comando operacional e a sistemática de comando de incidentes adotada pela Corporação;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solicitar o emprego de recursos operacionais adicionais quando aqueles disponíveis forem insuficientes para o atendimento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manter o Oficial de Dia e os escalões competentes informados acerca das ocorrências relevantes, alterações do serviço e indisponibilidade de recursos;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receber dos Comandantes de Guarnição as informações relativas às ocorrências atendidas e às alterações verificadas durante 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adotar as providências imediatas diante das alterações ocorridas durante o serviço, encaminhando ao escalão competente aquelas que excedam sua competência;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zelar pela disciplina, segurança, apresentação e adequada atuação do efetivo integrante da prontidão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fiscalizar o cumprimento das normas, protocolos, ordens e procedimentos relativos ao serviço operacional; 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visitar, sempre que possível e desde que não haja prejuízo à execução do serviço operacional, os militares pertencentes ao 1º Grupamento de Bombeiro Militar que se encontrem hospitalizados, tomando conhecimento de sua situação e das eventuais necessidades de apoio institucional;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acompanhar os militares da ativa e da reserva remunerada que se encontrem detidos ou conduzidos perante autoridade policial, permanecendo no local, quando necessário, até a conclusão do registro da ocorrência e das providências iniciais adotadas pelo respectivo órgão;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comunicar imediatamente ao Superior de Dia as situações previstas nos incisos IX e X, bem como quaisquer fatos envolvendo militares que, por sua natureza ou repercussão, demandem conhecimento ou providências dos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acionar, quando necessário, o Plano de Chamada do 1º Grupamento de Bombeiro Militar, diante de ocorrência ou situação que demande reforço extraordinário de efetivo, comunicando imediatamente o acionamento ao Comandante da Unidade e ao Superior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III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cumprir as determinações dos escalões superiores relacionadas ao serviço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 __. O serviço de Oficial de Dia será realizado exclusivamente no Quartel do Comando-Geral – QCG, em regime presencial de 24 (vinte e quatro) horas, sendo exercido por oficiais dos postos de Segundo-Tenente BM, Primeiro-Tenente BM e Capitão 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1º O Oficial de Dia exercerá suas atribuições no âmbito interno do QCG, competindo-lhe zelar pela disciplina, segurança, ordem e regular funcionamento do aquartelamento durante o período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responsável pelo aquartelamento nas questões relacionadas à disciplina e à segurança interna.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III - orientar os militares empregados nos serviços internos do QCG quanto às suas atribuições e às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IV - realizar inspeções nas dependências do QCG, adotando ou solicitando as providências necessárias diante das irregularidades constatadas;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 - zelar pela disciplina, segurança e ordem no interior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QCG;</w:t>
            </w:r>
          </w:p>
          <w:p>
            <w:pPr>
              <w:spacing w:after="0"/>
            </w:pPr>
            <w:r>
              <w:rPr>
                <w:rFonts w:ascii="Times New Roman" w:cs="Times New Roman" w:eastAsia="Times New Roman" w:hAnsi="Times New Roman"/>
                <w:b w:val="false"/>
                <w:bCs w:val="false"/>
                <w:sz w:val="20"/>
                <w:szCs w:val="20"/>
              </w:rPr>
              <w:t xml:space="preserv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 - registrar a entrada ou saída de materiais do QCG fora do horário de expediente, não permitindo sua retirada sem a devida autorização;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XIV - receber autoridades civis e militares que compareçam ao QCG fora do horário de expediente, adotando as providências protocolares cabíveis;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QCG, submetendo à autoridade competente aquelas que excedam sua atribuição;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XVIII - registrar em livro ou sistema próprio as ocorrências e alterações verificadas durante sua jornada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XIX - elaborar e encaminhar a parte de serviço à autoridade competente, consignando as ocorrências e alterações relevantes verificadas durante a jornada;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 - comunicar imediatamente qualquer acidente envolvendo pessoal, viatura, material ou patrimônio ocorrido no âmbito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 - fiscalizar as condições de conservação, limpeza e organização das dependências do QCG;</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 - fiscalizar o cumprimento das prisões e detenções de natureza disciplinar executadas nas dependências do aquartelamento, zelando pela observância das determinações da autoridade competente, das condições de segurança e das normas aplicáveis.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XXIV - adotar, nas hipóteses de flagrante de crime militar, as providências que lhe competirem nos termos da legislação processual penal militar, comunicando imediatamente o fato à autoridade de polícia judiciária militar competente.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inciso IV</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LUIZ EDUARDO OLIVEIRA FIRMINO (LUIZ EDUARDO OLIVEIRA FIRMINO)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XXV - cumprir e fazer cumprir as ordens e determinações dos escalões superiores relacionadas ao serviço interno do aquartelamento.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Artigo novo incluído na versão atual — sugestões do Cel. Luiz Eduardo sobre o artigo das funções do serviço: os artigos de regime e de competências do Superior de Dia, do Oficial de Dia e do Comandante de Socorro entraram na versão atual como artigos novos (se-art-31-c1/c2, se-art-38-c1/c2, se-art-43-c1 — este último, as competências operacionais, atribuídas ao Oficial de Dia após a eliminação da figura do Comandante de Socorro em 15/09); as duas propostas de mérito foram decididas em 15/09: Superior de Dia mantém o alcance estadual; Oficial de Dia só no 1º GBM)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 parecer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Quadro de análise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2026-09-16T02:14:18.522Z</dcterms:created>
  <dcterms:modified xsi:type="dcterms:W3CDTF">2026-09-16T02:14:18.522Z</dcterms:modified>
</cp:coreProperties>
</file>

<file path=docProps/custom.xml><?xml version="1.0" encoding="utf-8"?>
<Properties xmlns="http://schemas.openxmlformats.org/officeDocument/2006/custom-properties" xmlns:vt="http://schemas.openxmlformats.org/officeDocument/2006/docPropsVTypes"/>
</file>