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1ª etapa (recorte submetido à consulta dos militares)</w:t>
      </w:r>
    </w:p>
    <w:p>
      <w:pPr>
        <w:spacing w:after="0" w:before="0"/>
        <w:jc w:val="center"/>
      </w:pPr>
      <w:r>
        <w:rPr>
          <w:rFonts w:ascii="Times New Roman" w:cs="Times New Roman" w:eastAsia="Times New Roman" w:hAnsi="Times New Roman"/>
          <w:b w:val="false"/>
          <w:bCs w:val="false"/>
          <w:i/>
          <w:iCs/>
          <w:sz w:val="22"/>
          <w:szCs w:val="22"/>
        </w:rPr>
        <w:t xml:space="preserve">Versão em consulta no Portal de Legislação CBM · cenário: Lei nº 2.204/2009 (LOB vigente)</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Este documento reproduz a minuta publicada no portal para os militares com acesso restrito ao Regulamento de Serviço, sem as correções e alterações posteriores da curadoria (que estão na versão atual e no Comparativo) e sem os dispositivos que a curadoria suprimiu: 126 artigos, reunindo o serviço operacional (COB), a Central de Operações e o teledespacho, o serviço interno e de dia, as atribuições das funções (somente COB e CAT) e o serviço técnico de segurança contra incêndio e pânico (CAT). Ficam para o Regulamento Geral completo 231 artigos de 9 capítulos e 16 artigos das funções dos demais órgãos. A numeração é provisória. Textos finais fechados no portal estão aplicados e sinalizados; fechamentos sem texto mantêm o original.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PRELIMINARES</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w:t>
      </w:r>
    </w:p>
    <w:p>
      <w:pPr>
        <w:spacing w:after="60" w:line="360"/>
        <w:ind w:left="708" w:hanging="340"/>
        <w:jc w:val="both"/>
      </w:pPr>
      <w:r>
        <w:rPr>
          <w:rFonts w:ascii="Times New Roman" w:cs="Times New Roman" w:eastAsia="Times New Roman" w:hAnsi="Times New Roman"/>
          <w:sz w:val="24"/>
          <w:szCs w:val="24"/>
        </w:rPr>
        <w:t xml:space="preserve">II - executar serviços de proteção, busca e salvamento;</w:t>
      </w:r>
    </w:p>
    <w:p>
      <w:pPr>
        <w:spacing w:after="60" w:line="360"/>
        <w:ind w:left="708" w:hanging="340"/>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Defesa Civil;</w:t>
      </w:r>
    </w:p>
    <w:p>
      <w:pPr>
        <w:spacing w:after="60" w:line="360"/>
        <w:ind w:left="708" w:hanging="340"/>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60" w:line="360"/>
        <w:ind w:left="708" w:hanging="340"/>
        <w:jc w:val="both"/>
      </w:pPr>
      <w:r>
        <w:rPr>
          <w:rFonts w:ascii="Times New Roman" w:cs="Times New Roman" w:eastAsia="Times New Roman" w:hAnsi="Times New Roman"/>
          <w:sz w:val="24"/>
          <w:szCs w:val="24"/>
        </w:rPr>
        <w:t xml:space="preserve">V - realizar socorros de urgência e emergência;</w:t>
      </w:r>
    </w:p>
    <w:p>
      <w:pPr>
        <w:spacing w:after="60" w:line="360"/>
        <w:ind w:left="708" w:hanging="340"/>
        <w:jc w:val="both"/>
      </w:pPr>
      <w:r>
        <w:rPr>
          <w:rFonts w:ascii="Times New Roman" w:cs="Times New Roman" w:eastAsia="Times New Roman" w:hAnsi="Times New Roman"/>
          <w:sz w:val="24"/>
          <w:szCs w:val="24"/>
        </w:rPr>
        <w:t xml:space="preserve">VI - executar perícias de incêndios, relacionadas com sua competência;</w:t>
      </w:r>
    </w:p>
    <w:p>
      <w:pPr>
        <w:spacing w:after="60" w:line="360"/>
        <w:ind w:left="708" w:hanging="340"/>
        <w:jc w:val="both"/>
      </w:pPr>
      <w:r>
        <w:rPr>
          <w:rFonts w:ascii="Times New Roman" w:cs="Times New Roman" w:eastAsia="Times New Roman" w:hAnsi="Times New Roman"/>
          <w:sz w:val="24"/>
          <w:szCs w:val="24"/>
        </w:rPr>
        <w:t xml:space="preserve">VII - realizar pesquisas científicas em seu campo de ação;</w:t>
      </w:r>
    </w:p>
    <w:p>
      <w:pPr>
        <w:spacing w:after="60" w:line="360"/>
        <w:ind w:left="708" w:hanging="340"/>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60" w:line="360"/>
        <w:ind w:left="708" w:hanging="340"/>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60" w:line="360"/>
        <w:ind w:left="708" w:hanging="340"/>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60" w:line="360"/>
        <w:ind w:left="708" w:hanging="340"/>
        <w:jc w:val="both"/>
      </w:pPr>
      <w:r>
        <w:rPr>
          <w:rFonts w:ascii="Times New Roman" w:cs="Times New Roman" w:eastAsia="Times New Roman" w:hAnsi="Times New Roman"/>
          <w:sz w:val="24"/>
          <w:szCs w:val="24"/>
        </w:rPr>
        <w:t xml:space="preserve">XI - desempenhar outras atividades previstas em lei.</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ATRIBUIÇÕES DAS FUNÇÕES</w:t>
      </w:r>
    </w:p>
    <w:p>
      <w:pPr>
        <w:spacing w:after="80" w:before="160"/>
        <w:jc w:val="center"/>
      </w:pPr>
      <w:r>
        <w:rPr>
          <w:rFonts w:ascii="Times New Roman" w:cs="Times New Roman" w:eastAsia="Times New Roman" w:hAnsi="Times New Roman"/>
          <w:b/>
          <w:bCs/>
          <w:i/>
          <w:iCs/>
          <w:sz w:val="22"/>
          <w:szCs w:val="22"/>
        </w:rPr>
        <w:t xml:space="preserve">Cap. I — Das funções do Comando Operacional de Bombeiros</w:t>
      </w:r>
    </w:p>
    <w:p>
      <w:pPr>
        <w:spacing w:after="60" w:line="360"/>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60" w:line="360"/>
        <w:ind w:left="708" w:hanging="340"/>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60" w:line="360"/>
        <w:ind w:left="708" w:hanging="340"/>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60" w:line="360"/>
        <w:ind w:left="708" w:hanging="340"/>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60" w:line="360"/>
        <w:ind w:left="708" w:hanging="340"/>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60" w:line="360"/>
        <w:ind w:left="708" w:hanging="340"/>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Compete ao Chefe da Seção de Pessoal:</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Compete ao Chefe da Seção Administrativa:</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Compete ao Chefe da Seção de Informática:</w:t>
      </w:r>
    </w:p>
    <w:p>
      <w:pPr>
        <w:spacing w:after="60" w:line="360"/>
        <w:ind w:left="708" w:hanging="340"/>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60" w:line="360"/>
        <w:ind w:left="708" w:hanging="340"/>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60" w:line="360"/>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Compete ao Chefe da Seção de Correição:</w:t>
      </w:r>
    </w:p>
    <w:p>
      <w:pPr>
        <w:spacing w:after="60" w:line="360"/>
        <w:ind w:left="708" w:hanging="340"/>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60" w:line="360"/>
        <w:ind w:left="708" w:hanging="340"/>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60" w:line="360"/>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Compete ao Chefe da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60" w:line="360"/>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Compete ao Chefe da Agência Regional de Inteligência:</w:t>
      </w:r>
    </w:p>
    <w:p>
      <w:pPr>
        <w:spacing w:after="60" w:line="360"/>
        <w:ind w:left="708" w:hanging="340"/>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60" w:line="360"/>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60" w:line="360"/>
        <w:ind w:left="708" w:hanging="340"/>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60" w:line="360"/>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60" w:line="360"/>
        <w:ind w:left="708" w:hanging="340"/>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60" w:line="360"/>
        <w:ind w:left="708" w:hanging="340"/>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80" w:before="160"/>
        <w:jc w:val="center"/>
      </w:pPr>
      <w:r>
        <w:rPr>
          <w:rFonts w:ascii="Times New Roman" w:cs="Times New Roman" w:eastAsia="Times New Roman" w:hAnsi="Times New Roman"/>
          <w:b/>
          <w:bCs/>
          <w:i/>
          <w:iCs/>
          <w:sz w:val="22"/>
          <w:szCs w:val="22"/>
        </w:rPr>
        <w:t xml:space="preserve">Cap. II — Das funções da Coordenadoria de Atividades Técnicas</w:t>
      </w:r>
    </w:p>
    <w:p>
      <w:pPr>
        <w:spacing w:after="60" w:line="360"/>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SERVIÇO OPERACIONAL</w:t>
      </w:r>
    </w:p>
    <w:p>
      <w:pPr>
        <w:spacing w:after="80" w:before="160"/>
        <w:jc w:val="center"/>
      </w:pPr>
      <w:r>
        <w:rPr>
          <w:rFonts w:ascii="Times New Roman" w:cs="Times New Roman" w:eastAsia="Times New Roman" w:hAnsi="Times New Roman"/>
          <w:b/>
          <w:bCs/>
          <w:i/>
          <w:iCs/>
          <w:sz w:val="22"/>
          <w:szCs w:val="22"/>
        </w:rPr>
        <w:t xml:space="preserve">RISD, Caps. I–IV — Finalidade, Objetivos, Políticas e Funções Operacionais</w:t>
      </w:r>
    </w:p>
    <w:p>
      <w:pPr>
        <w:spacing w:after="120" w:line="360"/>
        <w:ind w:firstLine="708"/>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º 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60" w:line="360"/>
        <w:ind w:left="708" w:hanging="340"/>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60" w:line="360"/>
        <w:ind w:left="708" w:hanging="340"/>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60" w:line="360"/>
        <w:ind w:left="708" w:hanging="340"/>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60" w:line="360"/>
        <w:ind w:left="708" w:hanging="340"/>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60" w:line="360"/>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60" w:line="360"/>
        <w:ind w:left="708" w:hanging="340"/>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60" w:line="360"/>
        <w:ind w:left="708" w:hanging="340"/>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60" w:line="360"/>
        <w:ind w:left="708" w:hanging="340"/>
        <w:jc w:val="both"/>
      </w:pPr>
      <w:r>
        <w:rPr>
          <w:rFonts w:ascii="Times New Roman" w:cs="Times New Roman" w:eastAsia="Times New Roman" w:hAnsi="Times New Roman"/>
          <w:sz w:val="24"/>
          <w:szCs w:val="24"/>
        </w:rPr>
        <w:t xml:space="preserve">IV - reduzir o tempo nos atendimentos e melhorar a eficiência dos socorros;</w:t>
      </w:r>
    </w:p>
    <w:p>
      <w:pPr>
        <w:spacing w:after="60" w:line="360"/>
        <w:ind w:left="708" w:hanging="340"/>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60" w:line="360"/>
        <w:ind w:left="708" w:hanging="340"/>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60" w:line="360"/>
        <w:ind w:left="708" w:hanging="340"/>
        <w:jc w:val="both"/>
      </w:pPr>
      <w:r>
        <w:rPr>
          <w:rFonts w:ascii="Times New Roman" w:cs="Times New Roman" w:eastAsia="Times New Roman" w:hAnsi="Times New Roman"/>
          <w:sz w:val="24"/>
          <w:szCs w:val="24"/>
        </w:rPr>
        <w:t xml:space="preserve">VII - manter a reserva operacional em condições de pronto emprego; e</w:t>
      </w:r>
    </w:p>
    <w:p>
      <w:pPr>
        <w:spacing w:after="60" w:line="360"/>
        <w:ind w:left="708" w:hanging="340"/>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60" w:line="360"/>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º 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oficial de dia;</w:t>
      </w:r>
    </w:p>
    <w:p>
      <w:pPr>
        <w:spacing w:after="60" w:line="360"/>
        <w:ind w:left="708" w:hanging="340"/>
        <w:jc w:val="both"/>
      </w:pPr>
      <w:r>
        <w:rPr>
          <w:rFonts w:ascii="Times New Roman" w:cs="Times New Roman" w:eastAsia="Times New Roman" w:hAnsi="Times New Roman"/>
          <w:sz w:val="24"/>
          <w:szCs w:val="24"/>
        </w:rPr>
        <w:t xml:space="preserve">III - comandante de Guarnição;</w:t>
      </w:r>
    </w:p>
    <w:p>
      <w:pPr>
        <w:spacing w:after="60" w:line="360"/>
        <w:ind w:left="708" w:hanging="340"/>
        <w:jc w:val="both"/>
      </w:pPr>
      <w:r>
        <w:rPr>
          <w:rFonts w:ascii="Times New Roman" w:cs="Times New Roman" w:eastAsia="Times New Roman" w:hAnsi="Times New Roman"/>
          <w:sz w:val="24"/>
          <w:szCs w:val="24"/>
        </w:rPr>
        <w:t xml:space="preserve">IV - condutor e Operador de Viaturas;</w:t>
      </w:r>
    </w:p>
    <w:p>
      <w:pPr>
        <w:spacing w:after="60" w:line="360"/>
        <w:ind w:left="708" w:hanging="340"/>
        <w:jc w:val="both"/>
      </w:pPr>
      <w:r>
        <w:rPr>
          <w:rFonts w:ascii="Times New Roman" w:cs="Times New Roman" w:eastAsia="Times New Roman" w:hAnsi="Times New Roman"/>
          <w:sz w:val="24"/>
          <w:szCs w:val="24"/>
        </w:rPr>
        <w:t xml:space="preserve">V - operador de Rádio;</w:t>
      </w:r>
    </w:p>
    <w:p>
      <w:pPr>
        <w:spacing w:after="60" w:line="360"/>
        <w:ind w:left="708" w:hanging="340"/>
        <w:jc w:val="both"/>
      </w:pPr>
      <w:r>
        <w:rPr>
          <w:rFonts w:ascii="Times New Roman" w:cs="Times New Roman" w:eastAsia="Times New Roman" w:hAnsi="Times New Roman"/>
          <w:sz w:val="24"/>
          <w:szCs w:val="24"/>
        </w:rPr>
        <w:t xml:space="preserve">VI - socorristas; e</w:t>
      </w:r>
    </w:p>
    <w:p>
      <w:pPr>
        <w:spacing w:after="60" w:line="360"/>
        <w:ind w:left="708" w:hanging="340"/>
        <w:jc w:val="both"/>
      </w:pPr>
      <w:r>
        <w:rPr>
          <w:rFonts w:ascii="Times New Roman" w:cs="Times New Roman" w:eastAsia="Times New Roman" w:hAnsi="Times New Roman"/>
          <w:sz w:val="24"/>
          <w:szCs w:val="24"/>
        </w:rPr>
        <w:t xml:space="preserve">VII - permanência.</w:t>
      </w:r>
    </w:p>
    <w:p>
      <w:pPr>
        <w:spacing w:after="80" w:before="160"/>
        <w:jc w:val="center"/>
      </w:pPr>
      <w:r>
        <w:rPr>
          <w:rFonts w:ascii="Times New Roman" w:cs="Times New Roman" w:eastAsia="Times New Roman" w:hAnsi="Times New Roman"/>
          <w:b/>
          <w:bCs/>
          <w:i/>
          <w:iCs/>
          <w:sz w:val="22"/>
          <w:szCs w:val="22"/>
        </w:rPr>
        <w:t xml:space="preserve">RISD, Cap. VI — Regime e Escalas de Serviço</w:t>
      </w:r>
    </w:p>
    <w:p>
      <w:pPr>
        <w:spacing w:after="60" w:line="360"/>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60" w:line="360"/>
        <w:ind w:left="1134" w:hanging="0"/>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60" w:line="360"/>
        <w:ind w:left="708" w:hanging="0"/>
        <w:jc w:val="both"/>
      </w:pPr>
      <w:r>
        <w:rPr>
          <w:rFonts w:ascii="Times New Roman" w:cs="Times New Roman" w:eastAsia="Times New Roman" w:hAnsi="Times New Roman"/>
          <w:sz w:val="24"/>
          <w:szCs w:val="24"/>
        </w:rPr>
        <w:t xml:space="preserve">§1.º Ao final do serviço deverá apor seu visto no livro de registro de ocorrências do Oficial de Dia.</w:t>
      </w:r>
    </w:p>
    <w:p>
      <w:pPr>
        <w:spacing w:after="60" w:line="360"/>
        <w:ind w:left="708" w:hanging="0"/>
        <w:jc w:val="both"/>
      </w:pPr>
      <w:r>
        <w:rPr>
          <w:rFonts w:ascii="Times New Roman" w:cs="Times New Roman" w:eastAsia="Times New Roman" w:hAnsi="Times New Roman"/>
          <w:sz w:val="24"/>
          <w:szCs w:val="24"/>
        </w:rPr>
        <w:t xml:space="preserve">§2.º O regime do serviço poderá sofrer alterações mediante publicação em BGO por determinação do Comandante Geral e ou pelo Comandante Operacional de Bombeiros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A permuta de serviço do Superior de Dia, só será permitida mediante autorização por escrito do Comandante Operacional de Bombeiros do CBMRO, após publicação em Boletim Geral Ostensivo.</w:t>
      </w:r>
    </w:p>
    <w:p>
      <w:pPr>
        <w:spacing w:after="60" w:line="360"/>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serviço diário de Superior de Dia ao CBMRO será coordenado pelo Comando Operacional de Bombeiros, através da sua Seção de Pessoal.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Comandante Operacional de Bombeiros ser alterado.</w:t>
      </w:r>
    </w:p>
    <w:p>
      <w:pPr>
        <w:spacing w:after="60" w:line="360"/>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80" w:before="160"/>
        <w:jc w:val="center"/>
      </w:pPr>
      <w:r>
        <w:rPr>
          <w:rFonts w:ascii="Times New Roman" w:cs="Times New Roman" w:eastAsia="Times New Roman" w:hAnsi="Times New Roman"/>
          <w:b/>
          <w:bCs/>
          <w:i/>
          <w:iCs/>
          <w:sz w:val="22"/>
          <w:szCs w:val="22"/>
        </w:rPr>
        <w:t xml:space="preserve">RISD, Caps. VIII–XI — Situações Extraordinárias, Viaturas, Apoio e Ocorrências</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p>
      <w:pPr>
        <w:spacing w:after="120" w:line="360"/>
        <w:ind w:firstLine="708"/>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360"/>
        <w:ind w:firstLine="708"/>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um relatório de detalhado;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o helicóptero do GTA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 Grande Porte.</w:t>
      </w:r>
    </w:p>
    <w:p>
      <w:pPr>
        <w:spacing w:after="120" w:line="360"/>
        <w:ind w:firstLine="708"/>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80" w:before="160"/>
        <w:jc w:val="center"/>
      </w:pPr>
      <w:r>
        <w:rPr>
          <w:rFonts w:ascii="Times New Roman" w:cs="Times New Roman" w:eastAsia="Times New Roman" w:hAnsi="Times New Roman"/>
          <w:b/>
          <w:bCs/>
          <w:i/>
          <w:iCs/>
          <w:sz w:val="22"/>
          <w:szCs w:val="22"/>
        </w:rPr>
        <w:t xml:space="preserve">Da prestação de informações à imprensa</w:t>
      </w:r>
    </w:p>
    <w:p>
      <w:pPr>
        <w:spacing w:after="60" w:line="360"/>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spacing w:after="80" w:before="160"/>
        <w:jc w:val="center"/>
      </w:pPr>
      <w:r>
        <w:rPr>
          <w:rFonts w:ascii="Times New Roman" w:cs="Times New Roman" w:eastAsia="Times New Roman" w:hAnsi="Times New Roman"/>
          <w:b/>
          <w:bCs/>
          <w:i/>
          <w:iCs/>
          <w:sz w:val="22"/>
          <w:szCs w:val="22"/>
        </w:rPr>
        <w:t xml:space="preserve">Do atendimento a tentativas de suicídio</w:t>
      </w:r>
    </w:p>
    <w:p>
      <w:pPr>
        <w:spacing w:after="60" w:line="360"/>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 CENTRAL DE OPERAÇÕES E DO TELEDESPACHO</w:t>
      </w:r>
    </w:p>
    <w:p>
      <w:pPr>
        <w:spacing w:after="80" w:before="160"/>
        <w:jc w:val="center"/>
      </w:pPr>
      <w:r>
        <w:rPr>
          <w:rFonts w:ascii="Times New Roman" w:cs="Times New Roman" w:eastAsia="Times New Roman" w:hAnsi="Times New Roman"/>
          <w:b/>
          <w:bCs/>
          <w:i/>
          <w:iCs/>
          <w:sz w:val="22"/>
          <w:szCs w:val="22"/>
        </w:rPr>
        <w:t xml:space="preserve">NGA-CIOP-001/2026 — Dos Supervisores</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80" w:before="160"/>
        <w:jc w:val="center"/>
      </w:pPr>
      <w:r>
        <w:rPr>
          <w:rFonts w:ascii="Times New Roman" w:cs="Times New Roman" w:eastAsia="Times New Roman" w:hAnsi="Times New Roman"/>
          <w:b/>
          <w:bCs/>
          <w:i/>
          <w:iCs/>
          <w:sz w:val="22"/>
          <w:szCs w:val="22"/>
        </w:rPr>
        <w:t xml:space="preserve">NGA-CIOP-001/2026 — Dos Atendentes</w:t>
      </w:r>
    </w:p>
    <w:p>
      <w:pPr>
        <w:spacing w:after="60" w:line="360"/>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80" w:before="160"/>
        <w:jc w:val="center"/>
      </w:pPr>
      <w:r>
        <w:rPr>
          <w:rFonts w:ascii="Times New Roman" w:cs="Times New Roman" w:eastAsia="Times New Roman" w:hAnsi="Times New Roman"/>
          <w:b/>
          <w:bCs/>
          <w:i/>
          <w:iCs/>
          <w:sz w:val="22"/>
          <w:szCs w:val="22"/>
        </w:rPr>
        <w:t xml:space="preserve">NGA-CIOP-001/2026 — Dos Despachadores</w:t>
      </w:r>
    </w:p>
    <w:p>
      <w:pPr>
        <w:spacing w:after="60" w:line="360"/>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80" w:before="160"/>
        <w:jc w:val="center"/>
      </w:pPr>
      <w:r>
        <w:rPr>
          <w:rFonts w:ascii="Times New Roman" w:cs="Times New Roman" w:eastAsia="Times New Roman" w:hAnsi="Times New Roman"/>
          <w:b/>
          <w:bCs/>
          <w:i/>
          <w:iCs/>
          <w:sz w:val="22"/>
          <w:szCs w:val="22"/>
        </w:rPr>
        <w:t xml:space="preserve">NGA-CIOP-001/2026 — Da remissão às demais matérias</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SERVIÇO INTERNO E DE DIA</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 acesso aos alojamento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Após as 22h00 as luzes do alojamento deverão ser apagadas, ficando proibido a prática de quaisquer atividades, exceto o acionamento e preparação para atendimento de ocorrência.</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A Prontidão deverá está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Comandante da guarnição deverá solicitar ao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 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60" w:line="360"/>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SEGURANÇA CONTRA INCÊNDIO E PÂNICO</w:t>
      </w:r>
    </w:p>
    <w:p>
      <w:pPr>
        <w:spacing w:after="80" w:before="160"/>
        <w:jc w:val="center"/>
      </w:pPr>
      <w:r>
        <w:rPr>
          <w:rFonts w:ascii="Times New Roman" w:cs="Times New Roman" w:eastAsia="Times New Roman" w:hAnsi="Times New Roman"/>
          <w:b/>
          <w:bCs/>
          <w:i/>
          <w:iCs/>
          <w:sz w:val="22"/>
          <w:szCs w:val="22"/>
        </w:rPr>
        <w:t xml:space="preserve">Cap. I — Do órgão responsável</w:t>
      </w:r>
    </w:p>
    <w:p>
      <w:pPr>
        <w:spacing w:after="60" w:line="360"/>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80" w:before="160"/>
        <w:jc w:val="center"/>
      </w:pPr>
      <w:r>
        <w:rPr>
          <w:rFonts w:ascii="Times New Roman" w:cs="Times New Roman" w:eastAsia="Times New Roman" w:hAnsi="Times New Roman"/>
          <w:b/>
          <w:bCs/>
          <w:i/>
          <w:iCs/>
          <w:sz w:val="22"/>
          <w:szCs w:val="22"/>
        </w:rPr>
        <w:t xml:space="preserve">Cap. II — Das Seções da Coordenadoria</w:t>
      </w:r>
    </w:p>
    <w:p>
      <w:pPr>
        <w:spacing w:after="60" w:line="360"/>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80" w:before="160"/>
        <w:jc w:val="center"/>
      </w:pPr>
      <w:r>
        <w:rPr>
          <w:rFonts w:ascii="Times New Roman" w:cs="Times New Roman" w:eastAsia="Times New Roman" w:hAnsi="Times New Roman"/>
          <w:b/>
          <w:bCs/>
          <w:i/>
          <w:iCs/>
          <w:sz w:val="22"/>
          <w:szCs w:val="22"/>
        </w:rPr>
        <w:t xml:space="preserve">Cap. III — Das Diretorias de Atividades Técnicas</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80" w:before="160"/>
        <w:jc w:val="center"/>
      </w:pPr>
      <w:r>
        <w:rPr>
          <w:rFonts w:ascii="Times New Roman" w:cs="Times New Roman" w:eastAsia="Times New Roman" w:hAnsi="Times New Roman"/>
          <w:b/>
          <w:bCs/>
          <w:i/>
          <w:iCs/>
          <w:sz w:val="22"/>
          <w:szCs w:val="22"/>
        </w:rPr>
        <w:t xml:space="preserve">Cap. IV — Das Seções das Diretorias</w:t>
      </w:r>
    </w:p>
    <w:p>
      <w:pPr>
        <w:spacing w:after="60" w:line="360"/>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80" w:before="160"/>
        <w:jc w:val="center"/>
      </w:pPr>
      <w:r>
        <w:rPr>
          <w:rFonts w:ascii="Times New Roman" w:cs="Times New Roman" w:eastAsia="Times New Roman" w:hAnsi="Times New Roman"/>
          <w:b/>
          <w:bCs/>
          <w:i/>
          <w:iCs/>
          <w:sz w:val="22"/>
          <w:szCs w:val="22"/>
        </w:rPr>
        <w:t xml:space="preserve">Cap. V — Das Seções de Atividades Técnicas</w:t>
      </w:r>
    </w:p>
    <w:p>
      <w:pPr>
        <w:spacing w:after="60" w:line="360"/>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80" w:before="160"/>
        <w:jc w:val="center"/>
      </w:pPr>
      <w:r>
        <w:rPr>
          <w:rFonts w:ascii="Times New Roman" w:cs="Times New Roman" w:eastAsia="Times New Roman" w:hAnsi="Times New Roman"/>
          <w:b/>
          <w:bCs/>
          <w:i/>
          <w:iCs/>
          <w:sz w:val="22"/>
          <w:szCs w:val="22"/>
        </w:rPr>
        <w:t xml:space="preserve">Cap. VI — Do Sistema de Segurança Contra Incêndio e Pânico</w:t>
      </w:r>
    </w:p>
    <w:p>
      <w:pPr>
        <w:spacing w:after="60" w:line="360"/>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80" w:before="160"/>
        <w:jc w:val="center"/>
      </w:pPr>
      <w:r>
        <w:rPr>
          <w:rFonts w:ascii="Times New Roman" w:cs="Times New Roman" w:eastAsia="Times New Roman" w:hAnsi="Times New Roman"/>
          <w:b/>
          <w:bCs/>
          <w:i/>
          <w:iCs/>
          <w:sz w:val="22"/>
          <w:szCs w:val="22"/>
        </w:rPr>
        <w:t xml:space="preserve">Cap. VII — Das penalidades</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80" w:before="160"/>
        <w:jc w:val="center"/>
      </w:pPr>
      <w:r>
        <w:rPr>
          <w:rFonts w:ascii="Times New Roman" w:cs="Times New Roman" w:eastAsia="Times New Roman" w:hAnsi="Times New Roman"/>
          <w:b/>
          <w:bCs/>
          <w:i/>
          <w:iCs/>
          <w:sz w:val="22"/>
          <w:szCs w:val="22"/>
        </w:rPr>
        <w:t xml:space="preserve">Cap. VIII — Das comissões e do direito de defesa</w:t>
      </w:r>
    </w:p>
    <w:p>
      <w:pPr>
        <w:spacing w:after="60" w:line="360"/>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Batalhões Bombeiro Militar.</w:t>
      </w:r>
    </w:p>
    <w:p>
      <w:pPr>
        <w:spacing w:after="120" w:line="360"/>
        <w:ind w:firstLine="708"/>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Os casos omissos ao presente Regulamento Geral serão dirimidos pelo Comandante-Geral do Corpo de Bombeiros Militar. ** Este texto não substitui o publicado no Boletim Geral Eletrônico – BGE</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2026-09-16T05:02:40.290Z</dcterms:created>
  <dcterms:modified xsi:type="dcterms:W3CDTF">2026-09-16T05:02:40.290Z</dcterms:modified>
</cp:coreProperties>
</file>

<file path=docProps/custom.xml><?xml version="1.0" encoding="utf-8"?>
<Properties xmlns="http://schemas.openxmlformats.org/officeDocument/2006/custom-properties" xmlns:vt="http://schemas.openxmlformats.org/officeDocument/2006/docPropsVTypes"/>
</file>