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Quadro de análise e aplicação das sugestões —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Pareceres e textos finais registrados no Portal de Legislação CBM</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Este quadro consolida, artigo a artigo, as 271 sugestões recebidas dos militares consultados sobre a minuta em consulta e o tratamento dado a cada uma: o que a versão atual da minuta fez com o artigo (271 sugestões sobre artigos alterados, 0 sobre artigos mantidos) e o parecer registrado no portal (0 acolhida(s) como relevante(s), 0 descartada(s) e 271 ainda sem parecer). Para cada artigo consta também a situação do texto final (redigido, conferido sem alteração, suprimido ou em aberto). O parecer é registrado pelo administrador no balão de cada sugestão (✅ relevante / ⛔ descartar) e o texto final no campo "Redação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2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Situação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Quantidade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acolhidas (relevantes)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descartadas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texto final redigido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suprimidos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conferidos sem alteração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em aberto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w:t>
            </w:r>
          </w:p>
        </w:tc>
      </w:tr>
    </w:tbl>
    <w:p>
      <w:r>
        <w:br w:type="page"/>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40" w:line="360"/>
        <w:jc w:val="both"/>
      </w:pPr>
      <w:r>
        <w:rPr>
          <w:rFonts w:ascii="Times New Roman" w:cs="Times New Roman" w:eastAsia="Times New Roman" w:hAnsi="Times New Roman"/>
          <w:b/>
          <w:bCs/>
          <w:i w:val="false"/>
          <w:iCs w:val="false"/>
          <w:sz w:val="20"/>
          <w:szCs w:val="20"/>
        </w:rPr>
        <w:t xml:space="preserve">Art. 3º — Compete ao Corpo de Bombeiros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4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6º — Compete ao Chefe da Seção de Pessoal:</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7º — Compete ao Chefe da Seção Administrativa: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8º — Compete ao Chefe da Seção de Informática: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9º — Compete ao Chefe da Seção de Correição:</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40" w:line="360"/>
        <w:jc w:val="both"/>
      </w:pPr>
      <w:r>
        <w:rPr>
          <w:rFonts w:ascii="Times New Roman" w:cs="Times New Roman" w:eastAsia="Times New Roman" w:hAnsi="Times New Roman"/>
          <w:b/>
          <w:bCs/>
          <w:i w:val="false"/>
          <w:iCs w:val="false"/>
          <w:sz w:val="20"/>
          <w:szCs w:val="20"/>
        </w:rPr>
        <w:t xml:space="preserve">Art. 24 — º São objetivos do presente Regulamento:</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2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Quadro de análise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2026-09-16T05:02:41.590Z</dcterms:created>
  <dcterms:modified xsi:type="dcterms:W3CDTF">2026-09-16T05:02:41.590Z</dcterms:modified>
</cp:coreProperties>
</file>

<file path=docProps/custom.xml><?xml version="1.0" encoding="utf-8"?>
<Properties xmlns="http://schemas.openxmlformats.org/officeDocument/2006/custom-properties" xmlns:vt="http://schemas.openxmlformats.org/officeDocument/2006/docPropsVTypes"/>
</file>