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herited-from-helix-constitution"/>
    <w:p>
      <w:pPr>
        <w:pStyle w:val="Heading2"/>
      </w:pPr>
      <w:r>
        <w:t xml:space="preserve">INHERITED FROM Helix Constitution</w:t>
      </w:r>
    </w:p>
    <w:p>
      <w:pPr>
        <w:pStyle w:val="BlockText"/>
      </w:pPr>
      <w:r>
        <w:t xml:space="preserve">Base agent rules live in the Helix Constitution submodule at the</w:t>
      </w:r>
      <w:r>
        <w:t xml:space="preserve"> </w:t>
      </w:r>
      <w:r>
        <w:t xml:space="preserve">parent project's</w:t>
      </w:r>
      <w:r>
        <w:t xml:space="preserve"> </w:t>
      </w:r>
      <w:r>
        <w:rPr>
          <w:rStyle w:val="VerbatimChar"/>
        </w:rPr>
        <w:t xml:space="preserve">constitution/AGENTS.md</w:t>
      </w:r>
      <w:r>
        <w:t xml:space="preserve"> </w:t>
      </w:r>
      <w:r>
        <w:t xml:space="preserve">and the universal</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The base file is authoritative for any topic not covered here.</w:t>
      </w:r>
      <w:r>
        <w:t xml:space="preserve"> </w:t>
      </w:r>
      <w:r>
        <w:t xml:space="preserve">Module-specific rules below extend them; they never weaken them.</w:t>
      </w:r>
    </w:p>
    <w:p>
      <w:pPr>
        <w:pStyle w:val="FirstParagraph"/>
      </w:pPr>
      <w:r>
        <w:t xml:space="preserve">Critical universal rules every CLI agent (Claude Code, Cursor, Aider,</w:t>
      </w:r>
      <w:r>
        <w:t xml:space="preserve"> </w:t>
      </w:r>
      <w:r>
        <w:t xml:space="preserve">Codex, Gemini CLI) MUST honour while working in this module:</w:t>
      </w:r>
    </w:p>
    <w:p>
      <w:pPr>
        <w:pStyle w:val="Compact"/>
        <w:numPr>
          <w:ilvl w:val="0"/>
          <w:numId w:val="1001"/>
        </w:numPr>
      </w:pPr>
      <w:r>
        <w:rPr>
          <w:b/>
          <w:bCs/>
        </w:rPr>
        <w:t xml:space="preserve">No bluffing.</w:t>
      </w:r>
      <w:r>
        <w:t xml:space="preserve"> </w:t>
      </w:r>
      <w:r>
        <w:t xml:space="preserve">Every PASS carries positive evidence. Constitution §11.4.</w:t>
      </w:r>
    </w:p>
    <w:p>
      <w:pPr>
        <w:pStyle w:val="Compact"/>
        <w:numPr>
          <w:ilvl w:val="0"/>
          <w:numId w:val="1001"/>
        </w:numPr>
      </w:pPr>
      <w:r>
        <w:rPr>
          <w:b/>
          <w:bCs/>
        </w:rPr>
        <w:t xml:space="preserve">Mutation-paired gates.</w:t>
      </w:r>
      <w:r>
        <w:t xml:space="preserve"> </w:t>
      </w:r>
      <w:r>
        <w:t xml:space="preserve">Every new gate has a paired mutation</w:t>
      </w:r>
      <w:r>
        <w:t xml:space="preserve"> </w:t>
      </w:r>
      <w:r>
        <w:t xml:space="preserve">proving it catches regressions. Constitution §1.1.</w:t>
      </w:r>
    </w:p>
    <w:p>
      <w:pPr>
        <w:pStyle w:val="Compact"/>
        <w:numPr>
          <w:ilvl w:val="0"/>
          <w:numId w:val="1001"/>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t xml:space="preserve">Constitution §11.4.6.</w:t>
      </w:r>
    </w:p>
    <w:p>
      <w:pPr>
        <w:pStyle w:val="Compact"/>
        <w:numPr>
          <w:ilvl w:val="0"/>
          <w:numId w:val="1001"/>
        </w:numPr>
      </w:pPr>
      <w:r>
        <w:rPr>
          <w:b/>
          <w:bCs/>
        </w:rPr>
        <w:t xml:space="preserve">Credentials never tracked.</w:t>
      </w:r>
      <w:r>
        <w:t xml:space="preserve"> </w:t>
      </w:r>
      <w:r>
        <w:rPr>
          <w:rStyle w:val="VerbatimChar"/>
        </w:rPr>
        <w:t xml:space="preserve">.env</w:t>
      </w:r>
      <w:r>
        <w:t xml:space="preserve"> </w:t>
      </w:r>
      <w:r>
        <w:t xml:space="preserve">patterns git-ignored; runtime-load</w:t>
      </w:r>
      <w:r>
        <w:t xml:space="preserve"> </w:t>
      </w:r>
      <w:r>
        <w:t xml:space="preserve">only. Constitution §11.4.10.</w:t>
      </w:r>
    </w:p>
    <w:p>
      <w:pPr>
        <w:pStyle w:val="Compact"/>
        <w:numPr>
          <w:ilvl w:val="0"/>
          <w:numId w:val="1001"/>
        </w:numPr>
      </w:pPr>
      <w:r>
        <w:rPr>
          <w:b/>
          <w:bCs/>
        </w:rPr>
        <w:t xml:space="preserve">Never force-push.</w:t>
      </w:r>
      <w:r>
        <w:t xml:space="preserve"> </w:t>
      </w:r>
      <w:r>
        <w:t xml:space="preserve">Force-push requires explicit per-session</w:t>
      </w:r>
      <w:r>
        <w:t xml:space="preserve"> </w:t>
      </w:r>
      <w:r>
        <w:t xml:space="preserve">authorization AND a green §9.1.5 post-op gate. Constitution §9.</w:t>
      </w:r>
    </w:p>
    <w:p>
      <w:pPr>
        <w:pStyle w:val="Compact"/>
        <w:numPr>
          <w:ilvl w:val="0"/>
          <w:numId w:val="1001"/>
        </w:numPr>
      </w:pPr>
      <w:r>
        <w:rPr>
          <w:b/>
          <w:bCs/>
        </w:rPr>
        <w:t xml:space="preserve">CONTINUATION.md kept in sync</w:t>
      </w:r>
      <w:r>
        <w:t xml:space="preserve"> </w:t>
      </w:r>
      <w:r>
        <w:t xml:space="preserve">in every non-trivial commit.</w:t>
      </w:r>
      <w:r>
        <w:t xml:space="preserve"> </w:t>
      </w:r>
      <w:r>
        <w:t xml:space="preserve">Constitution §12.10.</w:t>
      </w:r>
    </w:p>
    <w:p>
      <w:pPr>
        <w:pStyle w:val="Compact"/>
        <w:numPr>
          <w:ilvl w:val="0"/>
          <w:numId w:val="1001"/>
        </w:numPr>
      </w:pPr>
      <w:r>
        <w:rPr>
          <w:b/>
          <w:bCs/>
        </w:rPr>
        <w:t xml:space="preserve">60% RAM cap.</w:t>
      </w:r>
      <w:r>
        <w:t xml:space="preserve"> </w:t>
      </w:r>
      <w:r>
        <w:t xml:space="preserve">Heavy work wrapped in bounded execution scope.</w:t>
      </w:r>
      <w:r>
        <w:t xml:space="preserve"> </w:t>
      </w:r>
      <w:r>
        <w:t xml:space="preserve">Constitution §12.6.</w:t>
      </w:r>
    </w:p>
    <w:p>
      <w:pPr>
        <w:pStyle w:val="FirstParagraph"/>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25" w:name="X40605a494ade6b0c605ef577276d3145712c432"/>
    <w:p>
      <w:pPr>
        <w:pStyle w:val="Heading1"/>
      </w:pPr>
      <w:r>
        <w:t xml:space="preserve">AGENTS.md — smarttube-player / MediaServiceCore submodule</w:t>
      </w:r>
    </w:p>
    <w:p>
      <w:pPr>
        <w:pStyle w:val="FirstParagraph"/>
      </w:pPr>
      <w:r>
        <w:t xml:space="preserve">Every AI agent working in this submodule MUST comply with the canonical</w:t>
      </w:r>
      <w:r>
        <w:t xml:space="preserve"> </w:t>
      </w:r>
      <w:hyperlink r:id="rId11">
        <w:r>
          <w:rPr>
            <w:rStyle w:val="Hyperlink"/>
          </w:rPr>
          <w:t xml:space="preserve">ATMOSphere Constitution</w:t>
        </w:r>
      </w:hyperlink>
      <w:r>
        <w:t xml:space="preserve"> </w:t>
      </w:r>
      <w:r>
        <w:t xml:space="preserve">in the parent repo, and with the</w:t>
      </w:r>
      <w:r>
        <w:t xml:space="preserve"> </w:t>
      </w:r>
      <w:hyperlink r:id="rId12">
        <w:r>
          <w:rPr>
            <w:rStyle w:val="Hyperlink"/>
          </w:rPr>
          <w:t xml:space="preserve">smarttube-player AGENTS.md</w:t>
        </w:r>
      </w:hyperlink>
      <w:r>
        <w:t xml:space="preserve">.</w:t>
      </w:r>
    </w:p>
    <w:p>
      <w:pPr>
        <w:pStyle w:val="BodyText"/>
      </w:pPr>
      <w:r>
        <w:t xml:space="preserve">This is the YouTube backend module for SmartTube. It carries its own</w:t>
      </w:r>
      <w:r>
        <w:t xml:space="preserve"> </w:t>
      </w:r>
      <w:r>
        <w:t xml:space="preserve">nested</w:t>
      </w:r>
      <w:r>
        <w:t xml:space="preserve"> </w:t>
      </w:r>
      <w:r>
        <w:rPr>
          <w:rStyle w:val="VerbatimChar"/>
        </w:rPr>
        <w:t xml:space="preserve">SharedModules/</w:t>
      </w:r>
      <w:r>
        <w:t xml:space="preserve"> </w:t>
      </w:r>
      <w:r>
        <w:t xml:space="preserve">submodule. Pointer cascade order (Constitution</w:t>
      </w:r>
      <w:r>
        <w:t xml:space="preserve"> </w:t>
      </w:r>
      <w:r>
        <w:t xml:space="preserve">§3):</w:t>
      </w:r>
      <w:r>
        <w:t xml:space="preserve"> </w:t>
      </w:r>
      <w:r>
        <w:rPr>
          <w:rStyle w:val="VerbatimChar"/>
        </w:rPr>
        <w:t xml:space="preserve">MediaServiceCore/SharedModules</w:t>
      </w:r>
      <w:r>
        <w:t xml:space="preserve"> </w:t>
      </w:r>
      <w:r>
        <w:t xml:space="preserve">content commit → MediaServiceCore</w:t>
      </w:r>
      <w:r>
        <w:t xml:space="preserve"> </w:t>
      </w:r>
      <w:r>
        <w:t xml:space="preserve">captures pointer + commits + pushes → smarttube-player captures both</w:t>
      </w:r>
      <w:r>
        <w:t xml:space="preserve"> </w:t>
      </w:r>
      <w:r>
        <w:t xml:space="preserve">nested pointers + commits + pushes → Android-15 parent captures</w:t>
      </w:r>
      <w:r>
        <w:t xml:space="preserve"> </w:t>
      </w:r>
      <w:r>
        <w:t xml:space="preserve">smarttube-player pointer + commits + pushes via</w:t>
      </w:r>
      <w:r>
        <w:t xml:space="preserve"> </w:t>
      </w:r>
      <w:r>
        <w:rPr>
          <w:rStyle w:val="VerbatimChar"/>
        </w:rPr>
        <w:t xml:space="preserve">commit_all.sh</w:t>
      </w:r>
      <w:r>
        <w:t xml:space="preserve">.</w:t>
      </w:r>
    </w:p>
    <w:bookmarkStart w:id="13" w:name="non-negotiable-summary"/>
    <w:p>
      <w:pPr>
        <w:pStyle w:val="Heading2"/>
      </w:pPr>
      <w:r>
        <w:t xml:space="preserve">Non-negotiable summary</w:t>
      </w:r>
    </w:p>
    <w:p>
      <w:pPr>
        <w:pStyle w:val="Compact"/>
        <w:numPr>
          <w:ilvl w:val="0"/>
          <w:numId w:val="1002"/>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 parent</w:t>
      </w:r>
      <w:r>
        <w:rPr>
          <w:b/>
          <w:bCs/>
        </w:rPr>
        <w:t xml:space="preserve"> </w:t>
      </w:r>
      <w:r>
        <w:rPr>
          <w:b/>
          <w:bCs/>
        </w:rPr>
        <w:t xml:space="preserve">repo root</w:t>
      </w:r>
      <w:r>
        <w:t xml:space="preserve"> </w:t>
      </w:r>
      <w:r>
        <w:t xml:space="preserve">for the final pointer cascade. For source changes inside</w:t>
      </w:r>
      <w:r>
        <w:t xml:space="preserve"> </w:t>
      </w:r>
      <w:r>
        <w:t xml:space="preserve">nested submodules: commit deepest-first, push to every remote at each</w:t>
      </w:r>
      <w:r>
        <w:t xml:space="preserve"> </w:t>
      </w:r>
      <w:r>
        <w:t xml:space="preserve">level, fast-forward pull in any other working tree of the same repo,</w:t>
      </w:r>
      <w:r>
        <w:t xml:space="preserve"> </w:t>
      </w:r>
      <w:r>
        <w:t xml:space="preserve">THEN allow the parent's</w:t>
      </w:r>
      <w:r>
        <w:t xml:space="preserve"> </w:t>
      </w:r>
      <w:r>
        <w:rPr>
          <w:rStyle w:val="VerbatimChar"/>
        </w:rPr>
        <w:t xml:space="preserve">commit_all.sh</w:t>
      </w:r>
      <w:r>
        <w:t xml:space="preserve"> </w:t>
      </w:r>
      <w:r>
        <w:t xml:space="preserve">to capture pointer advances.</w:t>
      </w:r>
    </w:p>
    <w:p>
      <w:pPr>
        <w:pStyle w:val="Compact"/>
        <w:numPr>
          <w:ilvl w:val="0"/>
          <w:numId w:val="1002"/>
        </w:numPr>
      </w:pPr>
      <w:r>
        <w:rPr>
          <w:b/>
          <w:bCs/>
        </w:rPr>
        <w:t xml:space="preserve">YouTube backend behaviour MUST validate as user-visible playback /</w:t>
      </w:r>
      <w:r>
        <w:rPr>
          <w:b/>
          <w:bCs/>
        </w:rPr>
        <w:t xml:space="preserve"> </w:t>
      </w:r>
      <w:r>
        <w:rPr>
          <w:b/>
          <w:bCs/>
        </w:rPr>
        <w:t xml:space="preserve">search / subscription on the flashed device</w:t>
      </w:r>
      <w:r>
        <w:t xml:space="preserve"> </w:t>
      </w:r>
      <w:r>
        <w:t xml:space="preserve">— not just unit tests</w:t>
      </w:r>
      <w:r>
        <w:t xml:space="preserve"> </w:t>
      </w:r>
      <w:r>
        <w:t xml:space="preserve">in isolation. §11.4 covenant binds this submodule equally.</w:t>
      </w:r>
    </w:p>
    <w:p>
      <w:pPr>
        <w:pStyle w:val="Compact"/>
        <w:numPr>
          <w:ilvl w:val="0"/>
          <w:numId w:val="1002"/>
        </w:numPr>
      </w:pPr>
      <w:r>
        <w:rPr>
          <w:b/>
          <w:bCs/>
        </w:rPr>
        <w:t xml:space="preserve">Tags cascade</w:t>
      </w:r>
      <w:r>
        <w:t xml:space="preserve">: every main-repo tag mirrors on this submodule at</w:t>
      </w:r>
      <w:r>
        <w:t xml:space="preserve"> </w:t>
      </w:r>
      <w:r>
        <w:t xml:space="preserve">its current HEAD across every remote it publishes to.</w:t>
      </w:r>
    </w:p>
    <w:p>
      <w:pPr>
        <w:pStyle w:val="FirstParagraph"/>
      </w:pPr>
      <w:r>
        <w:t xml:space="preserve">Non-compliance is a blocker regardless of context.</w:t>
      </w:r>
    </w:p>
    <w:p>
      <w:r>
        <w:pict>
          <v:rect style="width:0;height:1.5pt" o:hralign="center" o:hrstd="t" o:hr="t"/>
        </w:pict>
      </w:r>
    </w:p>
    <w:bookmarkEnd w:id="13"/>
    <w:bookmarkStart w:id="14" w:name="X1d09420df572ef82dadcf71d826d865dd173029"/>
    <w:p>
      <w:pPr>
        <w:pStyle w:val="Heading2"/>
      </w:pPr>
      <w:r>
        <w:t xml:space="preserve">MANDATORY HOST-SESSION SAFETY (Constitution §12)</w:t>
      </w:r>
    </w:p>
    <w:p>
      <w:pPr>
        <w:pStyle w:val="FirstParagraph"/>
      </w:pPr>
      <w:r>
        <w:t xml:space="preserve">This submodule inherits parent Constitution §12 and §12.1 in full. No</w:t>
      </w:r>
      <w:r>
        <w:t xml:space="preserve"> </w:t>
      </w:r>
      <w:r>
        <w:t xml:space="preserve">script here may suspend / hibernate / log-out the user session, and any</w:t>
      </w:r>
      <w:r>
        <w:t xml:space="preserve"> </w:t>
      </w:r>
      <w:r>
        <w:t xml:space="preserve">operation expected to exceed ~4 GB RSS MUST be wrapped in</w:t>
      </w:r>
      <w:r>
        <w:t xml:space="preserve"> </w:t>
      </w:r>
      <w:r>
        <w:rPr>
          <w:rStyle w:val="VerbatimChar"/>
        </w:rPr>
        <w:t xml:space="preserve">bounded_run</w:t>
      </w:r>
      <w:r>
        <w:t xml:space="preserve"> </w:t>
      </w:r>
      <w:r>
        <w:t xml:space="preserve">from</w:t>
      </w:r>
      <w:r>
        <w:t xml:space="preserve"> </w:t>
      </w:r>
      <w:r>
        <w:rPr>
          <w:rStyle w:val="VerbatimChar"/>
        </w:rPr>
        <w:t xml:space="preserve">scripts/lib/host_session_safety.sh</w:t>
      </w:r>
      <w:r>
        <w:t xml:space="preserve"> </w:t>
      </w:r>
      <w:r>
        <w:t xml:space="preserve">(parent repo). Cross-reference:</w:t>
      </w:r>
      <w:r>
        <w:t xml:space="preserve"> </w:t>
      </w:r>
      <w:r>
        <w:t xml:space="preserve">parent</w:t>
      </w:r>
      <w:r>
        <w:t xml:space="preserve"> </w:t>
      </w:r>
      <w:r>
        <w:rPr>
          <w:rStyle w:val="VerbatimChar"/>
        </w:rPr>
        <w:t xml:space="preserve">docs/guides/ATMOSPHERE_CONSTITUTION.md</w:t>
      </w:r>
      <w:r>
        <w:t xml:space="preserve"> </w:t>
      </w:r>
      <w:r>
        <w:t xml:space="preserve">§12.</w:t>
      </w:r>
    </w:p>
    <w:bookmarkEnd w:id="14"/>
    <w:bookmarkStart w:id="15" w:name="Xdbd0a05a8fec4fbd779e8ca4d915f1c9356c98b"/>
    <w:p>
      <w:pPr>
        <w:pStyle w:val="Heading2"/>
      </w:pPr>
      <w:r>
        <w:t xml:space="preserve">MANDATORY ANTI-BLUFF VALIDATION (Constitution §8.1 + §11)</w:t>
      </w:r>
    </w:p>
    <w:p>
      <w:pPr>
        <w:pStyle w:val="FirstParagraph"/>
      </w:pPr>
      <w:r>
        <w:t xml:space="preserve">Tests must validate user-visible behaviour, not just metadata. PASS / FAIL</w:t>
      </w:r>
      <w:r>
        <w:t xml:space="preserve"> </w:t>
      </w:r>
      <w:r>
        <w:t xml:space="preserve">/ SKIP must be mechanically distinguishable. Every parent-repo gate that</w:t>
      </w:r>
      <w:r>
        <w:t xml:space="preserve"> </w:t>
      </w:r>
      <w:r>
        <w:t xml:space="preserve">depends on this submodule MUST have a paired mutation in</w:t>
      </w:r>
      <w:r>
        <w:t xml:space="preserve"> </w:t>
      </w:r>
      <w:r>
        <w:rPr>
          <w:rStyle w:val="VerbatimChar"/>
        </w:rPr>
        <w:t xml:space="preserve">scripts/testing/meta_test_false_positive_proof.sh</w:t>
      </w:r>
      <w:r>
        <w:t xml:space="preserve">. The bar is not</w:t>
      </w:r>
      <w:r>
        <w:t xml:space="preserve"> </w:t>
      </w:r>
      <w:r>
        <w:t xml:space="preserve">"tests pass" but "users can use the feature."</w:t>
      </w:r>
    </w:p>
    <w:bookmarkEnd w:id="15"/>
    <w:bookmarkStart w:id="16" w:name="X598866f64054013f26458bfd53dcffd46b8eeff"/>
    <w:p>
      <w:pPr>
        <w:pStyle w:val="Heading2"/>
      </w:pPr>
      <w:r>
        <w:t xml:space="preserve">MANDATORY ABSOLUTE DATA SAFETY — ZERO RISK (Constitution §9)</w:t>
      </w:r>
    </w:p>
    <w:p>
      <w:pPr>
        <w:pStyle w:val="FirstParagraph"/>
      </w:pPr>
      <w:r>
        <w:t xml:space="preserve">EVERY destructive repository operation MUST follow parent Constitution §9.</w:t>
      </w:r>
      <w:r>
        <w:t xml:space="preserve"> </w:t>
      </w:r>
      <w:r>
        <w:t xml:space="preserve">Hardlinked backup is so cheap (zero disk, &lt;2 s) that there is NEVER an</w:t>
      </w:r>
      <w:r>
        <w:t xml:space="preserve"> </w:t>
      </w:r>
      <w:r>
        <w:t xml:space="preserve">excuse to skip it. Force-push requires explicit per-session authorization</w:t>
      </w:r>
      <w:r>
        <w:t xml:space="preserve"> </w:t>
      </w:r>
      <w:r>
        <w:t xml:space="preserve">AND a green post-op gate.</w:t>
      </w:r>
    </w:p>
    <w:bookmarkEnd w:id="16"/>
    <w:bookmarkStart w:id="18"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11">
        <w:r>
          <w:rPr>
            <w:rStyle w:val="VerbatimChar"/>
          </w:rPr>
          <w:t xml:space="preserve">docs/guides/ATMOSPHERE_CONSTITUTION.md</w:t>
        </w:r>
      </w:hyperlink>
      <w:r>
        <w:t xml:space="preserve"> </w:t>
      </w:r>
      <w:r>
        <w:t xml:space="preserve">§8.1 + §11 + §11.3 (the "no bluff" CLAUDE.md / AGENTS.md mandate) +</w:t>
      </w:r>
      <w:r>
        <w:t xml:space="preserve"> </w:t>
      </w:r>
      <w:r>
        <w:rPr>
          <w:b/>
          <w:bCs/>
        </w:rPr>
        <w:t xml:space="preserve">§11.4 (this end-user-quality-guarantee forensic anchor — propagation</w:t>
      </w:r>
      <w:r>
        <w:rPr>
          <w:b/>
          <w:bCs/>
        </w:rPr>
        <w:t xml:space="preserve"> </w:t>
      </w:r>
      <w:r>
        <w:rPr>
          <w:b/>
          <w:bCs/>
        </w:rPr>
        <w:t xml:space="preserve">requirement enforced by pre-build 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17">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3"/>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18"/>
    <w:bookmarkStart w:id="24"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t xml:space="preserve">Three consecutive session-loss SIGKILLs on 2026-04-30 during 1.1.5-dev</w:t>
      </w:r>
      <w:r>
        <w:t xml:space="preserve"> </w:t>
      </w:r>
      <w:r>
        <w:t xml:space="preserve">established this; full forensic + library API in parent</w:t>
      </w:r>
      <w:r>
        <w:t xml:space="preserve"> </w:t>
      </w:r>
      <w:hyperlink r:id="rId11">
        <w:r>
          <w:rPr>
            <w:rStyle w:val="VerbatimChar"/>
          </w:rPr>
          <w:t xml:space="preserve">docs/guides/ATMOSPHERE_CONSTITUTION.md</w:t>
        </w:r>
      </w:hyperlink>
      <w:r>
        <w:t xml:space="preserve"> </w:t>
      </w:r>
      <w:r>
        <w:t xml:space="preserve">§12.6.</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04"/>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05"/>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05"/>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05"/>
        </w:numPr>
      </w:pPr>
      <w:r>
        <w:t xml:space="preserve">Release artifacts →</w:t>
      </w:r>
      <w:r>
        <w:t xml:space="preserve"> </w:t>
      </w:r>
      <w:r>
        <w:rPr>
          <w:rStyle w:val="VerbatimChar"/>
        </w:rPr>
        <w:t xml:space="preserve">releases/&lt;app&gt;/&lt;version&gt;/</w:t>
      </w:r>
    </w:p>
    <w:p>
      <w:pPr>
        <w:pStyle w:val="Compact"/>
        <w:numPr>
          <w:ilvl w:val="0"/>
          <w:numId w:val="1005"/>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05"/>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05"/>
        </w:numPr>
      </w:pPr>
      <w:r>
        <w:t xml:space="preserve">Per-version changelogs →</w:t>
      </w:r>
      <w:r>
        <w:t xml:space="preserve"> </w:t>
      </w:r>
      <w:r>
        <w:rPr>
          <w:rStyle w:val="VerbatimChar"/>
        </w:rPr>
        <w:t xml:space="preserve">docs/changelogs/</w:t>
      </w:r>
    </w:p>
    <w:p>
      <w:pPr>
        <w:pStyle w:val="Compact"/>
        <w:numPr>
          <w:ilvl w:val="0"/>
          <w:numId w:val="1005"/>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06"/>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1">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2">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07"/>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0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0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0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0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0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0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constitution/Constitution.md" TargetMode="External" /><Relationship Type="http://schemas.openxmlformats.org/officeDocument/2006/relationships/hyperlink" Id="rId11" Target="../../../../docs/guides/ATMOSPHERE_CONSTITUTION.md" TargetMode="External" /><Relationship Type="http://schemas.openxmlformats.org/officeDocument/2006/relationships/hyperlink" Id="rId17" Target="../../../../docs/guides/ATMOSPHERE_CONSTITUTION.md#114-end-user-quality-guarantee--forensic-anchor-user-mandate-2026-04-28" TargetMode="External" /><Relationship Type="http://schemas.openxmlformats.org/officeDocument/2006/relationships/hyperlink" Id="rId12" Target="../AGENTS.md" TargetMode="External" /><Relationship Type="http://schemas.openxmlformats.org/officeDocument/2006/relationships/hyperlink" Id="rId23" Target="Constitution.md" TargetMode="External" /><Relationship Type="http://schemas.openxmlformats.org/officeDocument/2006/relationships/hyperlink" Id="rId21" Target="constitution/Constitution.md" TargetMode="External" /><Relationship Type="http://schemas.openxmlformats.org/officeDocument/2006/relationships/hyperlink" Id="rId19" Target="docs/guides/ATMOSPHERE_CONSTITUTION.md" TargetMode="External" /><Relationship Type="http://schemas.openxmlformats.org/officeDocument/2006/relationships/hyperlink" Id="rId22"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20" Target="../../../../../constitution/Constitution.md" TargetMode="External" /><Relationship Type="http://schemas.openxmlformats.org/officeDocument/2006/relationships/hyperlink" Id="rId11" Target="../../../../docs/guides/ATMOSPHERE_CONSTITUTION.md" TargetMode="External" /><Relationship Type="http://schemas.openxmlformats.org/officeDocument/2006/relationships/hyperlink" Id="rId17" Target="../../../../docs/guides/ATMOSPHERE_CONSTITUTION.md#114-end-user-quality-guarantee--forensic-anchor-user-mandate-2026-04-28" TargetMode="External" /><Relationship Type="http://schemas.openxmlformats.org/officeDocument/2006/relationships/hyperlink" Id="rId12" Target="../AGENTS.md" TargetMode="External" /><Relationship Type="http://schemas.openxmlformats.org/officeDocument/2006/relationships/hyperlink" Id="rId23" Target="Constitution.md" TargetMode="External" /><Relationship Type="http://schemas.openxmlformats.org/officeDocument/2006/relationships/hyperlink" Id="rId21" Target="constitution/Constitution.md" TargetMode="External" /><Relationship Type="http://schemas.openxmlformats.org/officeDocument/2006/relationships/hyperlink" Id="rId19" Target="docs/guides/ATMOSPHERE_CONSTITUTION.md" TargetMode="External" /><Relationship Type="http://schemas.openxmlformats.org/officeDocument/2006/relationships/hyperlink" Id="rId22"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2026-10-11T22:30:55Z</dcterms:created>
  <dcterms:modified xsi:type="dcterms:W3CDTF">2026-10-11T22:30:55Z</dcterms:modified>
</cp:coreProperties>
</file>

<file path=docProps/custom.xml><?xml version="1.0" encoding="utf-8"?>
<Properties xmlns="http://schemas.openxmlformats.org/officeDocument/2006/custom-properties" xmlns:vt="http://schemas.openxmlformats.org/officeDocument/2006/docPropsVTypes"/>
</file>