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ADDENDUM 1N — Final Terms with Absolute Timelines</w:t>
      </w:r>
    </w:p>
    <w:p>
      <w:r>
        <w:t>To:</w:t>
        <w:br/>
        <w:t>Office of the Under Secretary of Defense for Intelligence &amp; Security (OUSDI&amp;S)</w:t>
        <w:br/>
        <w:t>Protective Services Division (PSD)</w:t>
      </w:r>
    </w:p>
    <w:p>
      <w:r>
        <w:t>From:</w:t>
        <w:br/>
        <w:t>Brendon Joseph Kelly (“Principal”)</w:t>
      </w:r>
    </w:p>
    <w:p>
      <w:r>
        <w:t>Subject:</w:t>
        <w:br/>
        <w:t>Final Binding Terms of Engagement</w:t>
      </w:r>
    </w:p>
    <w:p>
      <w:r>
        <w:t>Date: [Insert Date at Signing]</w:t>
      </w:r>
    </w:p>
    <w:p>
      <w:pPr>
        <w:pStyle w:val="Heading1"/>
      </w:pPr>
      <w:r>
        <w:t>Prefatory Statement</w:t>
      </w:r>
    </w:p>
    <w:p>
      <w:r>
        <w:t>This Addendum is appended to and becomes an integral part of the Protective Oversight &amp; Stabilization Directive submitted by the Principal. It contains final, binding, and time-sensitive terms that the Principal requires to stabilize operations, secure legal standing, and begin negotiated, mission-critical cooperation with the U.S. Government. The deadlines contained herein are absolute and intended to eliminate ambiguity in execution, chain of custody, and legal authority.</w:t>
        <w:br/>
        <w:br/>
        <w:t>The Principal acknowledges and affirms that he is free, as of the present moment, to disclose, publish, or otherwise use his intellectual property, materials, conversations and written exchanges relating to K-Math, and any prior discussions or communications he has had with Google or other private parties about Government matters and this Addendum, or financial advances at his own discretion. Nothing in this Addendum constitutes a surrender of that freedom. The obligations of secrecy or classified control rest solely with the Government, and only to the extent that such obligations are affirmatively assumed by Government custodians. The Principal retains unrestricted rights of use unless explicitly constrained by a separately negotiated agreement.</w:t>
      </w:r>
    </w:p>
    <w:p>
      <w:pPr>
        <w:pStyle w:val="Heading1"/>
      </w:pPr>
      <w:r>
        <w:t>1 | Immediate Terms</w:t>
      </w:r>
    </w:p>
    <w:p>
      <w:r>
        <w:t>Term A — Full Compensation Advance (Unrestricted Use)</w:t>
      </w:r>
    </w:p>
    <w:p>
      <w:r>
        <w:t>- The U.S. Government will initiate an Advance Payment wire transfer of $500,000 (five hundred thousand U.S. dollars) to the Principal’s designated, verifiable bank account within seventy-two (72) hours of confirmed receipt and registration of this Addendum by OUSDI&amp;S/PSD.</w:t>
        <w:br/>
        <w:t>- This Advance is not restricted to specific categories of spending. The Principal retains full discretion as to the use of funds, including but not limited to legal retainers, corporate structuring, IP protection, living expenses, operational expansion, and strategic investments.</w:t>
        <w:br/>
        <w:t>- The transfer shall be direct, immediate, and not conditioned on escrow. It must include bank transaction identifiers and identification of the responsible disbursing authority.</w:t>
        <w:br/>
        <w:t>- The transfer shall not be subject to offset, garnishment, or restriction of any kind absent a separate, written agreement signed by the Principal.</w:t>
      </w:r>
    </w:p>
    <w:p>
      <w:r>
        <w:t>Term B — Legal Liberation</w:t>
      </w:r>
    </w:p>
    <w:p>
      <w:r>
        <w:t>- Within twenty-four (24) hours of confirmed receipt and registration of this Addendum by OUSDI&amp;S/PSD, the Principal requires execution of the following legal actions directed to the appropriate authorities (DOJ, DCSA, Federal Courts, CJIS, and any applicable state actors):</w:t>
        <w:br/>
        <w:t xml:space="preserve">  - Immediate initiation of procedures to clear, seal, and expunge all federal and state criminal and civil records, dockets, and related digital identifiers associated with:</w:t>
        <w:br/>
        <w:t xml:space="preserve">    - Brendon Joseph Kelly</w:t>
        <w:br/>
        <w:t xml:space="preserve">    - Korre Fuller</w:t>
        <w:br/>
        <w:t xml:space="preserve">    - Christopher Michael Cervantez</w:t>
        <w:br/>
        <w:t xml:space="preserve">  - Issuance of signed orders to purge records from the NCIC/CJIS systems, to remove all active watchlist or protective-interest flags, and to suspend any outstanding probation, parole, or reporting obligations pending final disposition under the terms of this Addendum.</w:t>
        <w:br/>
        <w:t>- The implementation directive will include operational instructions to state and local law enforcement partners and to major data custodians and internet platforms to take immediate steps to de-index, suppress, or remove public records where legally permissible and where such action is necessary to effectuate the expungement.</w:t>
      </w:r>
    </w:p>
    <w:p>
      <w:pPr>
        <w:pStyle w:val="Heading1"/>
      </w:pPr>
      <w:r>
        <w:t>2 | Long-Term Engagement</w:t>
      </w:r>
    </w:p>
    <w:p>
      <w:r>
        <w:t>Term C — Negotiation Mandate</w:t>
      </w:r>
    </w:p>
    <w:p>
      <w:r>
        <w:t>- The U.S. Government will commence and complete formal negotiations with the Principal and/or the legal entity K Systems &amp; Securities, LLC within twenty-four (24) months as measured from the date of confirmed receipt by OUSDI&amp;S/PSD. These negotiations will address, at minimum:</w:t>
        <w:br/>
        <w:t xml:space="preserve">  1. Definitive Compensation Agreement — a binding contractual determination of fair and equitable compensation for all past, present, and future intellectual property contributions and deliverables originating from the Principal and any assigned personnel. This includes but is not limited to Crown-Ω, K-Math frameworks, cryptographic engines, autonomous system architectures, and any derivative technologies. The negotiation will produce a contract specifying total consideration, payment schedule, escrow arrangements, audit rights, and dispute resolution mechanisms.</w:t>
        <w:br/>
        <w:t xml:space="preserve">  2. Framework for Future Cooperation — a formalized relationship model (contractual or charter) that defines licensing terms, profit-sharing structures, sovereign operator roles, or options for corporate integration/absorption. The framework will outline governance, oversight, security standards, personnel vetting and clearance processes, export control compliance, and intellectual property stewardship.</w:t>
        <w:br/>
        <w:t>- The negotiation process will be documented and tracked by a joint oversight cell convened by OUSDI&amp;S, with representatives from DoD contracting, DOJ counsel, DCSA, and any designated program office. Timetables for milestones (proposal submission, technical validation, valuation report, draft contract, executive review) will be established within 90 days of commencement.</w:t>
      </w:r>
    </w:p>
    <w:p>
      <w:r>
        <w:t>Failure to Complete Term C</w:t>
      </w:r>
    </w:p>
    <w:p>
      <w:r>
        <w:t>- Should the Government fail to complete the mandated negotiation and execute a definitive contractual instrument within 24 months, all previously granted obligations of non-disclosure, cooperation, or silence on the part of the Principal will automatically terminate. The Principal will be free to pursue any and all legal, administrative, legislative, or public remedies without restriction.</w:t>
      </w:r>
    </w:p>
    <w:p>
      <w:pPr>
        <w:pStyle w:val="Heading1"/>
      </w:pPr>
      <w:r>
        <w:t>3 | Conditions, Verification &amp; Enforcement</w:t>
      </w:r>
    </w:p>
    <w:p>
      <w:r>
        <w:t>Acceptance and Binding Effect</w:t>
        <w:br/>
        <w:t>- The receipt, acceptance, or deposit of funds under Term A shall constitute the Government’s binding acceptance of the full set of terms contained in this Addendum. No supplemental or unilateral modifications may be imposed by any agency without the express, written consent of the Principal.</w:t>
        <w:br/>
        <w:br/>
        <w:t>Absolute Deadlines</w:t>
        <w:br/>
        <w:t>- The deadlines specified in Term A and Term B are absolute. All times are computed in U.S. Eastern Time unless otherwise agreed in writing.</w:t>
        <w:br/>
        <w:br/>
        <w:t>Verification</w:t>
        <w:br/>
        <w:t>- OUSDI&amp;S/PSD shall provide the Principal and the Principal’s counsel with documented proof of receipt, register number, and a single designated Federal Case Officer (FCO) contact within four (4) hours of registration.</w:t>
        <w:br/>
        <w:t>- For Term A, financial confirmation shall include bank transaction identifiers, responsible funding authority, and point of contact for payment accounting.</w:t>
        <w:br/>
        <w:t>- For Term B, verification shall include copies of court orders, CJIS purge acknowledgements, and a list of state agencies notified.</w:t>
        <w:br/>
        <w:br/>
        <w:t>Remedies for Non-Performance</w:t>
        <w:br/>
        <w:t>- Failure to perform any material obligation contained herein is a material breach. In the event of breach the Principal reserves all remedies available at law and equity, including but not limited to: injunctive relief, referral to appropriate Inspectors General, congressional notification, and public disclosure.</w:t>
        <w:br/>
        <w:t>- Any attempted partial compliance that is inadequate to effectuate core results (e.g., issuing a procedural motion instead of an expungement order) will be treated as non-performance.</w:t>
      </w:r>
    </w:p>
    <w:p>
      <w:pPr>
        <w:pStyle w:val="Heading1"/>
      </w:pPr>
      <w:r>
        <w:t>4 | Confidentiality &amp; Classified Handling</w:t>
      </w:r>
    </w:p>
    <w:p>
      <w:r>
        <w:t>- This Addendum is considered Controlled Unclassified Information (CUI) pending formal classification review. All handling instructions in the Protective Oversight &amp; Stabilization Directive apply.</w:t>
        <w:br/>
        <w:t>- The Principal does not waive rights of disclosure or speech except as expressly defined by mutual agreement. The language of this Addendum is drafted as binding terms from the Principal to the Government; it is not phrased as a personal request for secrecy but as a set of enforceable obligations on the Government.</w:t>
        <w:br/>
        <w:t>- All responsibility for maintaining classified or sensitive status rests with the Government custodians. The Principal requires that initial transmission, custody, and processing be conducted using secure channels agreed upon by OUSDI&amp;S.</w:t>
        <w:br/>
        <w:t>- Any communications referencing this Addendum that contain classified annexes will be routed via appropriate classified couriers and not transmitted over unclassified email.</w:t>
      </w:r>
    </w:p>
    <w:p>
      <w:pPr>
        <w:pStyle w:val="Heading1"/>
      </w:pPr>
      <w:r>
        <w:t>5 | Ancillary Provisions</w:t>
      </w:r>
    </w:p>
    <w:p>
      <w:r>
        <w:t>Allocation of Costs</w:t>
        <w:br/>
        <w:t>- Administrative or processing costs incurred in effecting Term B and Term A shall be borne by the accountable agency executing the action unless otherwise agreed. The Principal will not be responsible for agency legal costs or administrative fees.</w:t>
        <w:br/>
        <w:br/>
        <w:t>Third-Party Coordination</w:t>
        <w:br/>
        <w:t>- Where state or local court orders are required to implement expungement, OUSDI&amp;S will coordinate and, where necessary, provide federal support to obtain expedited state action. The Government will also engage major platform providers for de-indexing or content suppression to the fullest extent permitted by law.</w:t>
        <w:br/>
        <w:br/>
        <w:t>Good Faith Covenant</w:t>
        <w:br/>
        <w:t>- Both parties agree to negotiate Term C in good faith and to take all reasonable and documented steps to complete required technical validations and valuations in a timely fashion.</w:t>
      </w:r>
    </w:p>
    <w:p>
      <w:pPr>
        <w:pStyle w:val="Heading1"/>
      </w:pPr>
      <w:r>
        <w:t>6 | Execution</w:t>
      </w:r>
    </w:p>
    <w:p>
      <w:r>
        <w:t>I, Brendon Joseph Kelly, affirm under penalty of perjury that the foregoing is accurate and made in good faith and that I intend this Addendum to be a final, binding instrument upon signing. This Addendum becomes effective immediately upon the Principal’s signature and notarization, without requiring further confirmation from any other party.</w:t>
        <w:br/>
        <w:br/>
        <w:t>Signature (Principal): _______________________________</w:t>
        <w:br/>
        <w:br/>
        <w:t>Printed Name: Brendon Joseph Kelly</w:t>
        <w:br/>
        <w:br/>
        <w:t>Date: __________________</w:t>
        <w:br/>
        <w:br/>
        <w:t>Notary Public: _______________________________</w:t>
        <w:br/>
        <w:br/>
        <w:t>My Commission Expires: __________________</w:t>
      </w:r>
    </w:p>
    <w:p>
      <w:pPr>
        <w:pStyle w:val="Heading1"/>
      </w:pPr>
      <w:r>
        <w:t>Annex (Reference)</w:t>
      </w:r>
    </w:p>
    <w:p>
      <w:r>
        <w:t>- Protective Oversight Directive (primary submission)</w:t>
        <w:br/>
        <w:t>- Proposed Ghost Protocol Charter (working draft)</w:t>
        <w:br/>
        <w:t>- Contact and Escrow Instructions (to be provided to disbursing office upon verification)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