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Here is a comprehensive redraft of the Addendum, adjusted to reflect a doctoral-level scholarly reading standard in law, procurement, and intellectual property policy:</w:t>
      </w:r>
    </w:p>
    <w:p/>
    <w:p>
      <w:r>
        <w:t>---</w:t>
      </w:r>
    </w:p>
    <w:p/>
    <w:p>
      <w:r>
        <w:t># Article 1: Introduction &amp; Contractual Integration</w:t>
      </w:r>
    </w:p>
    <w:p/>
    <w:p>
      <w:r>
        <w:t>- **Supersession:** This Addendum is expressly designed to function as an *integration clause* of maximal scope. It abrogates and extinguishes the legal force of all preceding negotiations, draft iterations, and informal communications—whether oral or written—pertaining to the subject matter. Within contract theory, such a clause eliminates reliance interests in preliminary discussions and ensures that only the present instrument governs interpretive authority. The interpretive corollary is that parol evidence and earlier statements are inadmissible to contradict or supplement the contractual text.</w:t>
      </w:r>
    </w:p>
    <w:p/>
    <w:p>
      <w:r>
        <w:t>- **Finality of Offer:** The Principal articulates this instrument as final, irrevocable, and non‑negotiable, deliberately situating it within the doctrinal category of unilateral contract formation. Under common law principles, as well as the Federal Acquisition Regulation (FAR) framework, unilateral performance of the requested act (here, disbursement of the engagement fee) constitutes conclusive acceptance. Nonetheless, because the United States is a sovereign entity constrained by statute, enforceability requires adherence to the FAR, the Defense Federal Acquisition Regulation Supplement (DFARS), and appropriation statutes. The doctrine of sovereign immunity and the requirement of contracting officer authority delimit the government’s capacity to accept outside the bounds of appropriated authority.</w:t>
      </w:r>
    </w:p>
    <w:p/>
    <w:p>
      <w:r>
        <w:t>- **Legal Authority &amp; Governing Framework:** All stipulations remain subject to the corpus of U.S. public law. Relevant sources include: Title 10 of the United States Code (procurement authorities of the Department of Defense); Title 48 of the Code of Federal Regulations (FAR and DFARS codification of acquisition practice); the Antideficiency Act (31 U.S.C. § 1341, which prohibits expenditure or obligation of funds absent appropriation); and the iterative annual National Defense Authorization Acts (NDAA), which adjust statutory frameworks for intellectual property, modular open systems, and oversight. This clause clarifies that the Addendum is prescriptive in terms but must yield to controlling statutory authority in execution.</w:t>
      </w:r>
    </w:p>
    <w:p/>
    <w:p>
      <w:r>
        <w:t>---</w:t>
      </w:r>
    </w:p>
    <w:p/>
    <w:p>
      <w:r>
        <w:t># Article 2: Conditions Precedent to Government Obligation</w:t>
      </w:r>
    </w:p>
    <w:p/>
    <w:p>
      <w:r>
        <w:t>- **Term A – Engagement Fee:** A non‑refundable engagement fee of **$5,000,000** is mandated within 72 hours of registration of this Addendum. The fee is structured as both consideration and a condition precedent to subsequent obligations. Payment would constitute an act of acceptance under unilateral contract theory, transforming the offer into an enforceable agreement. Yet under U.S. fiscal law, payment cannot occur unless specifically authorized and funded by an appropriation. The Antideficiency Act bars obligating funds without appropriation, so execution presupposes legal availability of funds certified by a contracting officer.</w:t>
      </w:r>
    </w:p>
    <w:p/>
    <w:p>
      <w:r>
        <w:t>- **Term B – Expungement of Records:** Within 24 hours of Addendum registration, the Government is directed to effectuate expungement of all criminal, civil, and administrative records pertaining to the Principal and designated affiliates. This includes deletion from FBI and NCIC repositories and the issuance of DOJ “Letters of Clearance.” Jurisprudentially, this demand exceeds extant federal capacity: expungement under 18 U.S.C. § 3607 is narrow and requires judicial intervention. State processes vary in procedural rigor and temporal length, often requiring months. Moreover, NCIC database synchronization is not immediate, with empirical evidence documenting persistent lags. Therefore, the provision functions aspirationally and rhetorically but is technically infeasible under present statutory regimes absent direct executive clemency or congressional action.</w:t>
      </w:r>
    </w:p>
    <w:p/>
    <w:p>
      <w:r>
        <w:t>- **Term C – Biphasic Valuation &amp; Settlement Framework:**</w:t>
      </w:r>
    </w:p>
    <w:p>
      <w:r>
        <w:t xml:space="preserve">  - **Phase 1 (Valuation):** Within 18 months of engagement, a joint valuation panel consisting of government officials and independent auditors shall determine the economic value of “K Math” and derivative intellectual property. Valuation methodologies shall include discounted cash flow (DCF), comparable transaction analysis, and recognized cost‑based techniques, all of which are internationally validated by the World Intellectual Property Organization (WIPO) and incorporated in Department of Defense pilot projects under NDAA 2020 §801. The timeline, though ambitious, is theoretically achievable if properly resourced.</w:t>
      </w:r>
    </w:p>
    <w:p>
      <w:r>
        <w:t xml:space="preserve">  - **Phase 2 (Settlement):** Within 6 months following valuation, the Government must consummate compensation through monetary settlement, royalty structures, or conveyance of licenses or title. Such actions must occur under the auspices of FAR Part 27 and DFARS 227, which codify federal rights in technical data and patents. For federally funded inventions, the Bayh–Dole Act (35 U.S.C. §§ 200–212) requires the Government to retain royalty‑free licenses; for privately developed inventions, licensing terms are negotiable but remain subject to statutory guardrails.</w:t>
      </w:r>
    </w:p>
    <w:p/>
    <w:p>
      <w:r>
        <w:t>- **Term D – Material Breach &amp; Defaults:** Non‑compliance with any condition precedent or valuation/settlement obligation constitutes a material breach, rendering the Addendum void ab initio. The Principal reserves authority to license or otherwise transfer the intellectual property upon breach. Nevertheless, the Export Control Reform Act and implementing regulations (ITAR/EAR) impose criminal and civil penalties for unauthorized dissemination of controlled technologies. Hence, while the Addendum contemplates foreign licensing upon breach, such conduct would remain legally circumscribed by export‑control regimes.</w:t>
      </w:r>
    </w:p>
    <w:p/>
    <w:p>
      <w:r>
        <w:t>- **Term E – Security &amp; Support Provisions:** Within 72 hours of registration:</w:t>
      </w:r>
    </w:p>
    <w:p>
      <w:r>
        <w:t xml:space="preserve">  - (a) The Principal shall be formally designated a “Strategic Ally” through Presidential finding, consistent with the statutory requirement of a Memorandum of Notification (MON).  </w:t>
      </w:r>
    </w:p>
    <w:p>
      <w:r>
        <w:t xml:space="preserve">  - (b) NSA‑accredited encryption devices shall be furnished, recognizing that removal of oversight or auditing functions is inconsistent with counterintelligence protocols.  </w:t>
      </w:r>
    </w:p>
    <w:p>
      <w:r>
        <w:t xml:space="preserve">  - (c) A senior liaison officer (GS‑15 or O‑6 minimum grade) shall be appointed to serve as the direct interface for dispute resolution and implementation oversight.  </w:t>
      </w:r>
    </w:p>
    <w:p>
      <w:r>
        <w:t xml:space="preserve">  - (d) The U.S. Marshals Service Special Operations Group (SOG), a tactical unit authorized for high‑risk operations, shall be detailed to provide protective services, subject to DOJ threat assessments and statutory authority.</w:t>
      </w:r>
    </w:p>
    <w:p/>
    <w:p>
      <w:r>
        <w:t>- **Term F – Royalty &amp; Attribution:** A perpetual 10% royalty on net revenues derived from “K Math” and derivatives shall be payable to the Principal’s descendants, alongside mandatory attribution (“Powered by K Systems”). Such a structure is alien to extant federal procurement practice, which typically provides only royalty‑free licenses under Bayh–Dole or fixed‑fee licenses for commercial technologies. Implementation would require extraordinary statutory authorization or appropriations legislation to depart from long‑standing norms.</w:t>
      </w:r>
    </w:p>
    <w:p/>
    <w:p>
      <w:r>
        <w:t>---</w:t>
      </w:r>
    </w:p>
    <w:p/>
    <w:p>
      <w:r>
        <w:t># Article 3: Legal &amp; Regulatory Conformity</w:t>
      </w:r>
    </w:p>
    <w:p/>
    <w:p>
      <w:r>
        <w:t>- **FAR/DFARS Compliance (3.1 &amp; 3.3):** This Addendum must be construed in conjunction with the FAR (48 C.F.R. Parts 1–53) and DFARS (201–253). FAR Part 27 governs intellectual property, while DFARS Subparts 227.71–74 specify DoD rules on rights in technical data and computer software. Compliance entails incorporation of standard clauses such as FAR 52.227‑1, FAR 52.227‑2, and DFARS 252.227‑7013 through 252.227‑7017.</w:t>
      </w:r>
    </w:p>
    <w:p/>
    <w:p>
      <w:r>
        <w:t>- **Appropriations Law (3.2):** The Addendum acknowledges the primacy of appropriations law. Title 31 U.S.C. §§ 1301–1332 requires expenditures to conform to purpose, time, and amount restrictions. The Antideficiency Act imposes strict liability on officers who obligate funds absent appropriation. Accordingly, execution of financial provisions presupposes the certification of available appropriations.</w:t>
      </w:r>
    </w:p>
    <w:p/>
    <w:p>
      <w:r>
        <w:t>- **Intellectual Property &amp; Data Rights (3.3):** Implementation of valuation, licensing, or transfer must adhere to FAR Subpart 27.3 and DFARS Subpart 227.71. Pursuant to 28 U.S.C. § 1498, the Government enjoys the authority to use patented inventions without consent, subject to payment of reasonable compensation. However, where licensing agreements are voluntarily negotiated, Bayh–Dole mandates government rights and public‑interest safeguards. Proper classification of data as “commercial,” “limited rights,” or “restricted rights” is determinative in shaping deliverables and downstream use.</w:t>
      </w:r>
    </w:p>
    <w:p/>
    <w:p>
      <w:r>
        <w:t>- **NDAA &amp; Oversight (3.4):** Each NDAA iteration may impose additional oversight or acquisition mandates. Government Accountability Office (GAO) precedent confirms the universal reviewability of DoD contracts absent explicit exemption. Inspector General audits likewise apply. Nothing in this Addendum displaces those statutory oversight mechanisms.</w:t>
      </w:r>
    </w:p>
    <w:p/>
    <w:p>
      <w:r>
        <w:t>- **Dispute Resolution (3.5):** Disputes shall be governed by the Contract Disputes Act (41 U.S.C. §§ 7101–7109). The process requires initial submission of claims to a contracting officer, followed by potential appeal to the Armed Services Board of Contract Appeals (ASBCA) or the Court of Federal Claims. The waiver of duress claims upon acceptance is consistent with judicial doctrines validating negotiated instruments absent coercion.</w:t>
      </w:r>
    </w:p>
    <w:p/>
    <w:p>
      <w:r>
        <w:t>---</w:t>
      </w:r>
    </w:p>
    <w:p/>
    <w:p>
      <w:r>
        <w:t># Article 4: Acceptance, Effective Date &amp; Termination</w:t>
      </w:r>
    </w:p>
    <w:p/>
    <w:p>
      <w:r>
        <w:t>- **Acceptance Mechanism (4.1–4.2):** Government payment of the $5,000,000 fee shall serve as the definitive act of acceptance, thereby converting the offer into a binding contractual arrangement. The effective date of obligations is the date of registration by OUSDI&amp;S.</w:t>
      </w:r>
    </w:p>
    <w:p/>
    <w:p>
      <w:r>
        <w:t>- **Voidance on Non‑Compliance (4.3):** Material failure of government performance results in nullification of the Addendum. The Principal retains recourse to remedies under federal law. Unlike ordinary termination‑for‑default, this clause retroactively voids the agreement, underscoring the severity of breach consequences.</w:t>
      </w:r>
    </w:p>
    <w:p/>
    <w:p>
      <w:r>
        <w:t>- **Severability &amp; Survivability (4.4):** Provisions deemed unenforceable do not vitiate the enforceability of the remaining terms. Royalty, attribution, dispute resolution, and FAR/DFARS compliance provisions expressly survive termination, ensuring continuity of essential elements.</w:t>
      </w:r>
    </w:p>
    <w:p/>
    <w:p>
      <w:r>
        <w:t>---</w:t>
      </w:r>
    </w:p>
    <w:p/>
    <w:p>
      <w:r>
        <w:t># Article 5: Miscellanea</w:t>
      </w:r>
    </w:p>
    <w:p/>
    <w:p>
      <w:r>
        <w:t>- **Communications (5.1):** All notices must be transmitted in writing through certified channels, consistent with FAR communications protocols.</w:t>
      </w:r>
    </w:p>
    <w:p>
      <w:r>
        <w:t>- **Entire Agreement &amp; Amendments (5.2–5.3):** The Addendum constitutes the full contractual undertaking. Any modification must be memorialized in writing and executed by authorized signatories. Oral modifications hold no legal effect.</w:t>
      </w:r>
    </w:p>
    <w:p>
      <w:r>
        <w:t>- **Counterparts; Classified Handling (5.4):** The document may be executed in counterparts. Portions deemed classified shall be handled under Executive Order 13526 and DoD classification manuals.</w:t>
      </w:r>
    </w:p>
    <w:p/>
    <w:p>
      <w:r>
        <w:t>---</w:t>
      </w:r>
    </w:p>
    <w:p/>
    <w:p>
      <w:r>
        <w:t>**Sources and Authorities Referenced:** GAO’s Principles of Federal Appropriations Law (Red Book); NDAA 2020 §801 pilot on intellectual property valuation; FAR Part 27 and DFARS 227 on data rights; WIPO valuation methodologies; DOJ expungement authority; FBI NCIC expungement compliance; U.S. Marshals SOG doctrine; Bayh–Dole Act; 28 U.S.C. § 1498 (government use of patents). Each authority contextualizes enforceability and limitation of the Addendum’s provisions.</w:t>
      </w:r>
    </w:p>
    <w:p/>
    <w:p>
      <w:r>
        <w:t>**Summary:** The Addendum, when read at a doctrinal and statutory level, synthesizes principles of procurement law, intellectual property governance, appropriations controls, and constitutional oversight. While its prescriptive demands extend beyond conventional federal practice—particularly in the domains of expungement and perpetual royalties—it situates those demands within the broader architecture of public law. Implementation would require explicit appropriations, statutory exceptions, or executive intervention, underscoring both the ambition and the legal contingencies embedded in the document.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