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DAE74" w14:textId="7532DEB5" w:rsidR="00772EBA" w:rsidRDefault="00000000" w:rsidP="00772EBA">
      <w:pPr>
        <w:pStyle w:val="Title"/>
        <w:spacing w:after="120"/>
        <w:jc w:val="center"/>
        <w:rPr>
          <w:sz w:val="40"/>
        </w:rPr>
      </w:pPr>
      <w:r w:rsidRPr="00772EBA">
        <w:rPr>
          <w:sz w:val="40"/>
        </w:rPr>
        <w:t>AEC Inventory Management Tool</w:t>
      </w:r>
    </w:p>
    <w:p w14:paraId="34C025BF" w14:textId="11BAE7D9" w:rsidR="00577C0D" w:rsidRDefault="00000000" w:rsidP="00772EBA">
      <w:pPr>
        <w:pStyle w:val="Heading1"/>
      </w:pPr>
      <w:r>
        <w:t>1. SITUATION: THE INDUSTRY CHALLENGE</w:t>
      </w:r>
      <w:r w:rsidR="00772EBA">
        <w:t xml:space="preserve"> </w:t>
      </w:r>
    </w:p>
    <w:p w14:paraId="4A74D971" w14:textId="77777777" w:rsidR="00577C0D" w:rsidRDefault="00000000" w:rsidP="00772EBA">
      <w:pPr>
        <w:jc w:val="both"/>
      </w:pPr>
      <w:r>
        <w:t>The Architecture, Engineering, and Construction (AEC) sector historically relies on fragmented data silos—spreadsheets, legacy ERPs, and paper records—that do not communicate effectively with field operations. This disconnection means inventory visibility typically vanishes once materials leave a central depot. The reliance on manual counting at active sites leads to significant human error, reactive procurement cycles, and an inability to accurately track project costs in real-time.</w:t>
      </w:r>
    </w:p>
    <w:p w14:paraId="7FC6A1B5" w14:textId="77777777" w:rsidR="00577C0D" w:rsidRDefault="00000000" w:rsidP="00772EBA">
      <w:pPr>
        <w:spacing w:after="240"/>
        <w:jc w:val="both"/>
      </w:pPr>
      <w:r>
        <w:t>Consequently, construction supply chains face three critical operational failures that standard Warehouse Management Systems (WMS) are ill-equipped to handle:</w:t>
      </w:r>
    </w:p>
    <w:tbl>
      <w:tblPr>
        <w:tblStyle w:val="TableGrid"/>
        <w:tblW w:w="0" w:type="auto"/>
        <w:tblLayout w:type="fixed"/>
        <w:tblLook w:val="04A0" w:firstRow="1" w:lastRow="0" w:firstColumn="1" w:lastColumn="0" w:noHBand="0" w:noVBand="1"/>
      </w:tblPr>
      <w:tblGrid>
        <w:gridCol w:w="4680"/>
        <w:gridCol w:w="4680"/>
      </w:tblGrid>
      <w:tr w:rsidR="00577C0D" w14:paraId="7B8B4B44" w14:textId="77777777">
        <w:tc>
          <w:tcPr>
            <w:tcW w:w="4680" w:type="dxa"/>
            <w:shd w:val="clear" w:color="auto" w:fill="003366"/>
            <w:tcMar>
              <w:top w:w="60" w:type="dxa"/>
              <w:left w:w="60" w:type="dxa"/>
              <w:bottom w:w="60" w:type="dxa"/>
              <w:right w:w="60" w:type="dxa"/>
            </w:tcMar>
          </w:tcPr>
          <w:p w14:paraId="02369EE9" w14:textId="77777777" w:rsidR="00577C0D" w:rsidRDefault="00000000">
            <w:r>
              <w:rPr>
                <w:b/>
                <w:color w:val="FFFFFF"/>
                <w:sz w:val="20"/>
              </w:rPr>
              <w:t>Core Problem</w:t>
            </w:r>
          </w:p>
        </w:tc>
        <w:tc>
          <w:tcPr>
            <w:tcW w:w="4680" w:type="dxa"/>
            <w:shd w:val="clear" w:color="auto" w:fill="003366"/>
            <w:tcMar>
              <w:top w:w="60" w:type="dxa"/>
              <w:left w:w="60" w:type="dxa"/>
              <w:bottom w:w="60" w:type="dxa"/>
              <w:right w:w="60" w:type="dxa"/>
            </w:tcMar>
          </w:tcPr>
          <w:p w14:paraId="047AF164" w14:textId="77777777" w:rsidR="00577C0D" w:rsidRDefault="00000000">
            <w:r>
              <w:rPr>
                <w:b/>
                <w:color w:val="FFFFFF"/>
                <w:sz w:val="20"/>
              </w:rPr>
              <w:t>Operational &amp; Financial Consequence</w:t>
            </w:r>
          </w:p>
        </w:tc>
      </w:tr>
      <w:tr w:rsidR="00577C0D" w14:paraId="7A65ADBE" w14:textId="77777777">
        <w:tc>
          <w:tcPr>
            <w:tcW w:w="4680" w:type="dxa"/>
            <w:tcMar>
              <w:top w:w="50" w:type="dxa"/>
              <w:left w:w="50" w:type="dxa"/>
              <w:bottom w:w="50" w:type="dxa"/>
              <w:right w:w="50" w:type="dxa"/>
            </w:tcMar>
          </w:tcPr>
          <w:p w14:paraId="29D35A8B" w14:textId="77777777" w:rsidR="00577C0D" w:rsidRDefault="00000000">
            <w:r>
              <w:rPr>
                <w:b/>
              </w:rPr>
              <w:t>Frozen Capital (Dead Stock)</w:t>
            </w:r>
          </w:p>
        </w:tc>
        <w:tc>
          <w:tcPr>
            <w:tcW w:w="4680" w:type="dxa"/>
            <w:tcMar>
              <w:top w:w="50" w:type="dxa"/>
              <w:left w:w="50" w:type="dxa"/>
              <w:bottom w:w="50" w:type="dxa"/>
              <w:right w:w="50" w:type="dxa"/>
            </w:tcMar>
          </w:tcPr>
          <w:p w14:paraId="2C4551F3" w14:textId="77777777" w:rsidR="00577C0D" w:rsidRDefault="00000000">
            <w:r>
              <w:t>Materials often sit unused for 90+ days across scattered sites. This invisible inventory ties up significant liquidity that could be deployed elsewhere, deteriorating in value over time.</w:t>
            </w:r>
          </w:p>
        </w:tc>
      </w:tr>
      <w:tr w:rsidR="00577C0D" w14:paraId="7BDBE7EE" w14:textId="77777777">
        <w:tc>
          <w:tcPr>
            <w:tcW w:w="4680" w:type="dxa"/>
            <w:tcMar>
              <w:top w:w="50" w:type="dxa"/>
              <w:left w:w="50" w:type="dxa"/>
              <w:bottom w:w="50" w:type="dxa"/>
              <w:right w:w="50" w:type="dxa"/>
            </w:tcMar>
          </w:tcPr>
          <w:p w14:paraId="29C74364" w14:textId="77777777" w:rsidR="00577C0D" w:rsidRDefault="00000000">
            <w:r>
              <w:rPr>
                <w:b/>
              </w:rPr>
              <w:t>Transit Risk Blindness</w:t>
            </w:r>
          </w:p>
        </w:tc>
        <w:tc>
          <w:tcPr>
            <w:tcW w:w="4680" w:type="dxa"/>
            <w:tcMar>
              <w:top w:w="50" w:type="dxa"/>
              <w:left w:w="50" w:type="dxa"/>
              <w:bottom w:w="50" w:type="dxa"/>
              <w:right w:w="50" w:type="dxa"/>
            </w:tcMar>
          </w:tcPr>
          <w:p w14:paraId="5C71266C" w14:textId="77777777" w:rsidR="00577C0D" w:rsidRDefault="00000000">
            <w:r>
              <w:t>Logistics managers lack visibility into high-damage routes until materials arrive broken at the site, causing immediate project delays and insurance paperwork churn.</w:t>
            </w:r>
          </w:p>
        </w:tc>
      </w:tr>
      <w:tr w:rsidR="00577C0D" w14:paraId="103DA478" w14:textId="77777777">
        <w:tc>
          <w:tcPr>
            <w:tcW w:w="4680" w:type="dxa"/>
            <w:tcMar>
              <w:top w:w="50" w:type="dxa"/>
              <w:left w:w="50" w:type="dxa"/>
              <w:bottom w:w="50" w:type="dxa"/>
              <w:right w:w="50" w:type="dxa"/>
            </w:tcMar>
          </w:tcPr>
          <w:p w14:paraId="3E5D887A" w14:textId="77777777" w:rsidR="00577C0D" w:rsidRDefault="00000000">
            <w:r>
              <w:rPr>
                <w:b/>
              </w:rPr>
              <w:t>Site De-synchronization</w:t>
            </w:r>
          </w:p>
        </w:tc>
        <w:tc>
          <w:tcPr>
            <w:tcW w:w="4680" w:type="dxa"/>
            <w:tcMar>
              <w:top w:w="50" w:type="dxa"/>
              <w:left w:w="50" w:type="dxa"/>
              <w:bottom w:w="50" w:type="dxa"/>
              <w:right w:w="50" w:type="dxa"/>
            </w:tcMar>
          </w:tcPr>
          <w:p w14:paraId="25498345" w14:textId="77777777" w:rsidR="00577C0D" w:rsidRDefault="00000000">
            <w:r>
              <w:t>Central warehouses are disconnected from site realities, leading to hoarding behavior at sites or critical path blockages due to stockouts.</w:t>
            </w:r>
          </w:p>
        </w:tc>
      </w:tr>
    </w:tbl>
    <w:p w14:paraId="27DB3E20" w14:textId="77777777" w:rsidR="00577C0D" w:rsidRDefault="00000000" w:rsidP="00772EBA">
      <w:pPr>
        <w:pStyle w:val="Heading1"/>
      </w:pPr>
      <w:r>
        <w:t>2. TASK: THE OBJECTIVE</w:t>
      </w:r>
    </w:p>
    <w:p w14:paraId="20EB23C0" w14:textId="77777777" w:rsidR="00577C0D" w:rsidRDefault="00000000" w:rsidP="00772EBA">
      <w:pPr>
        <w:jc w:val="both"/>
      </w:pPr>
      <w:r>
        <w:t>The primary objective was to move the organization from reactive record-keeping to proactive supply chain management. The goal was to engineer a centralized, full-stack platform that acts as the single source of truth for materials, closing the information gap between the office and the construction site.</w:t>
      </w:r>
    </w:p>
    <w:p w14:paraId="77C73338" w14:textId="77777777" w:rsidR="00577C0D" w:rsidRDefault="00000000" w:rsidP="00772EBA">
      <w:pPr>
        <w:spacing w:after="40"/>
        <w:jc w:val="both"/>
      </w:pPr>
      <w:r>
        <w:t>Specific technical and operational goals included:</w:t>
      </w:r>
    </w:p>
    <w:p w14:paraId="3004ED92" w14:textId="77777777" w:rsidR="00577C0D" w:rsidRDefault="00000000" w:rsidP="00772EBA">
      <w:pPr>
        <w:pStyle w:val="ListBullet"/>
        <w:spacing w:after="120"/>
        <w:jc w:val="both"/>
      </w:pPr>
      <w:r>
        <w:t>Automate the detection of stagnant inventory to immediately release frozen capital.</w:t>
      </w:r>
    </w:p>
    <w:p w14:paraId="481AC830" w14:textId="77777777" w:rsidR="00577C0D" w:rsidRDefault="00000000" w:rsidP="00772EBA">
      <w:pPr>
        <w:pStyle w:val="ListBullet"/>
        <w:spacing w:after="120"/>
        <w:jc w:val="both"/>
      </w:pPr>
      <w:r>
        <w:t>Implement predictive risk modeling using historical route data to proactively reduce transit damages.</w:t>
      </w:r>
    </w:p>
    <w:p w14:paraId="467EC496" w14:textId="77777777" w:rsidR="00577C0D" w:rsidRDefault="00000000" w:rsidP="00772EBA">
      <w:pPr>
        <w:pStyle w:val="ListBullet"/>
        <w:spacing w:after="120"/>
        <w:jc w:val="both"/>
      </w:pPr>
      <w:r>
        <w:t>Ensure real-time, atomic synchronization of inventory levels between central distribution centers and active project sites.</w:t>
      </w:r>
    </w:p>
    <w:p w14:paraId="602D475D" w14:textId="21DF7913" w:rsidR="00577C0D" w:rsidRDefault="00000000" w:rsidP="00772EBA">
      <w:pPr>
        <w:pStyle w:val="Heading1"/>
      </w:pPr>
      <w:r>
        <w:br w:type="page"/>
      </w:r>
      <w:r>
        <w:lastRenderedPageBreak/>
        <w:t>3. ACTION: SOLUTION IMPLEMENTATION</w:t>
      </w:r>
    </w:p>
    <w:p w14:paraId="441792D3" w14:textId="77777777" w:rsidR="00577C0D" w:rsidRDefault="00000000">
      <w:pPr>
        <w:pStyle w:val="Heading2"/>
      </w:pPr>
      <w:r>
        <w:rPr>
          <w:color w:val="003366"/>
        </w:rPr>
        <w:t>Architectural Strategy</w:t>
      </w:r>
    </w:p>
    <w:p w14:paraId="576892E6" w14:textId="77777777" w:rsidR="00577C0D" w:rsidRDefault="00000000" w:rsidP="00772EBA">
      <w:pPr>
        <w:jc w:val="both"/>
      </w:pPr>
      <w:r>
        <w:t>We selected a decoupled, horizontal architecture to ensure operational resilience and independent scalability. By separating the frontend user interface from the backend business logic and the data layer, we ensure that high traffic on the dashboard (e.g., during morning site briefings) does not degrade the performance of critical API transaction processing. A Redis caching layer was introduced to deliver near-instant stock retrieval for frequent queries, significantly reducing load on the primary MySQL database.</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577C0D" w14:paraId="1D4A481F" w14:textId="77777777">
        <w:trPr>
          <w:jc w:val="center"/>
        </w:trPr>
        <w:tc>
          <w:tcPr>
            <w:tcW w:w="1872" w:type="dxa"/>
            <w:shd w:val="clear" w:color="auto" w:fill="D0D0D0"/>
          </w:tcPr>
          <w:p w14:paraId="61D8711F" w14:textId="77777777" w:rsidR="00577C0D" w:rsidRDefault="00000000">
            <w:pPr>
              <w:jc w:val="center"/>
            </w:pPr>
            <w:r>
              <w:rPr>
                <w:b/>
              </w:rPr>
              <w:t>CLIENT LAYER</w:t>
            </w:r>
          </w:p>
        </w:tc>
        <w:tc>
          <w:tcPr>
            <w:tcW w:w="1872" w:type="dxa"/>
          </w:tcPr>
          <w:p w14:paraId="47789DDC" w14:textId="77777777" w:rsidR="00577C0D" w:rsidRDefault="00577C0D"/>
        </w:tc>
        <w:tc>
          <w:tcPr>
            <w:tcW w:w="1872" w:type="dxa"/>
            <w:shd w:val="clear" w:color="auto" w:fill="D0D0D0"/>
          </w:tcPr>
          <w:p w14:paraId="794CD477" w14:textId="77777777" w:rsidR="00577C0D" w:rsidRDefault="00000000">
            <w:pPr>
              <w:jc w:val="center"/>
            </w:pPr>
            <w:r>
              <w:rPr>
                <w:b/>
              </w:rPr>
              <w:t>LOGIC LAYER</w:t>
            </w:r>
          </w:p>
        </w:tc>
        <w:tc>
          <w:tcPr>
            <w:tcW w:w="1872" w:type="dxa"/>
          </w:tcPr>
          <w:p w14:paraId="137FC761" w14:textId="77777777" w:rsidR="00577C0D" w:rsidRDefault="00577C0D"/>
        </w:tc>
        <w:tc>
          <w:tcPr>
            <w:tcW w:w="1872" w:type="dxa"/>
            <w:shd w:val="clear" w:color="auto" w:fill="D0D0D0"/>
          </w:tcPr>
          <w:p w14:paraId="28108851" w14:textId="77777777" w:rsidR="00577C0D" w:rsidRDefault="00000000">
            <w:pPr>
              <w:jc w:val="center"/>
            </w:pPr>
            <w:r>
              <w:rPr>
                <w:b/>
              </w:rPr>
              <w:t>DATA LAYER</w:t>
            </w:r>
          </w:p>
        </w:tc>
      </w:tr>
      <w:tr w:rsidR="00577C0D" w14:paraId="402A2FCD" w14:textId="77777777">
        <w:trPr>
          <w:jc w:val="center"/>
        </w:trPr>
        <w:tc>
          <w:tcPr>
            <w:tcW w:w="1872" w:type="dxa"/>
            <w:shd w:val="clear" w:color="auto" w:fill="FFFFFF"/>
            <w:tcMar>
              <w:top w:w="60" w:type="dxa"/>
              <w:left w:w="60" w:type="dxa"/>
              <w:bottom w:w="60" w:type="dxa"/>
              <w:right w:w="60" w:type="dxa"/>
            </w:tcMar>
          </w:tcPr>
          <w:p w14:paraId="45BD85AF" w14:textId="77777777" w:rsidR="00577C0D" w:rsidRDefault="00000000">
            <w:pPr>
              <w:jc w:val="center"/>
            </w:pPr>
            <w:r>
              <w:rPr>
                <w:b/>
                <w:sz w:val="20"/>
              </w:rPr>
              <w:t>Next.js UI</w:t>
            </w:r>
            <w:r>
              <w:rPr>
                <w:b/>
                <w:sz w:val="20"/>
              </w:rPr>
              <w:br/>
            </w:r>
            <w:r>
              <w:rPr>
                <w:sz w:val="18"/>
              </w:rPr>
              <w:t>(Vercel Dashboard)</w:t>
            </w:r>
          </w:p>
        </w:tc>
        <w:tc>
          <w:tcPr>
            <w:tcW w:w="1872" w:type="dxa"/>
            <w:shd w:val="clear" w:color="auto" w:fill="F0F0F0"/>
          </w:tcPr>
          <w:p w14:paraId="12BE5BCD" w14:textId="77777777" w:rsidR="00577C0D" w:rsidRDefault="00000000">
            <w:pPr>
              <w:jc w:val="center"/>
            </w:pPr>
            <w:r>
              <w:rPr>
                <w:sz w:val="16"/>
              </w:rPr>
              <w:t>➜</w:t>
            </w:r>
            <w:r>
              <w:rPr>
                <w:sz w:val="16"/>
              </w:rPr>
              <w:br/>
              <w:t>HTTPS</w:t>
            </w:r>
            <w:r>
              <w:rPr>
                <w:sz w:val="16"/>
              </w:rPr>
              <w:br/>
              <w:t>JSON</w:t>
            </w:r>
          </w:p>
        </w:tc>
        <w:tc>
          <w:tcPr>
            <w:tcW w:w="1872" w:type="dxa"/>
            <w:shd w:val="clear" w:color="auto" w:fill="FFFFFF"/>
            <w:tcMar>
              <w:top w:w="60" w:type="dxa"/>
              <w:left w:w="60" w:type="dxa"/>
              <w:bottom w:w="60" w:type="dxa"/>
              <w:right w:w="60" w:type="dxa"/>
            </w:tcMar>
          </w:tcPr>
          <w:p w14:paraId="2BD4770E" w14:textId="77777777" w:rsidR="00577C0D" w:rsidRDefault="00000000">
            <w:pPr>
              <w:jc w:val="center"/>
            </w:pPr>
            <w:r>
              <w:rPr>
                <w:b/>
                <w:sz w:val="20"/>
              </w:rPr>
              <w:t>Express API</w:t>
            </w:r>
            <w:r>
              <w:rPr>
                <w:b/>
                <w:sz w:val="20"/>
              </w:rPr>
              <w:br/>
            </w:r>
            <w:r>
              <w:rPr>
                <w:sz w:val="18"/>
              </w:rPr>
              <w:t>(Node.js Server)</w:t>
            </w:r>
          </w:p>
        </w:tc>
        <w:tc>
          <w:tcPr>
            <w:tcW w:w="1872" w:type="dxa"/>
            <w:shd w:val="clear" w:color="auto" w:fill="F0F0F0"/>
          </w:tcPr>
          <w:p w14:paraId="10E814AD" w14:textId="77777777" w:rsidR="00577C0D" w:rsidRDefault="00000000">
            <w:pPr>
              <w:jc w:val="center"/>
            </w:pPr>
            <w:r>
              <w:rPr>
                <w:sz w:val="16"/>
              </w:rPr>
              <w:t>➜</w:t>
            </w:r>
            <w:r>
              <w:rPr>
                <w:sz w:val="16"/>
              </w:rPr>
              <w:br/>
              <w:t>SQL</w:t>
            </w:r>
            <w:r>
              <w:rPr>
                <w:sz w:val="16"/>
              </w:rPr>
              <w:br/>
              <w:t>TCP</w:t>
            </w:r>
          </w:p>
        </w:tc>
        <w:tc>
          <w:tcPr>
            <w:tcW w:w="1872" w:type="dxa"/>
            <w:shd w:val="clear" w:color="auto" w:fill="FFFFFF"/>
            <w:tcMar>
              <w:top w:w="60" w:type="dxa"/>
              <w:left w:w="60" w:type="dxa"/>
              <w:bottom w:w="60" w:type="dxa"/>
              <w:right w:w="60" w:type="dxa"/>
            </w:tcMar>
          </w:tcPr>
          <w:p w14:paraId="326DFA5A" w14:textId="77777777" w:rsidR="00577C0D" w:rsidRDefault="00000000">
            <w:pPr>
              <w:jc w:val="center"/>
            </w:pPr>
            <w:r>
              <w:rPr>
                <w:b/>
                <w:sz w:val="20"/>
              </w:rPr>
              <w:t>MySQL 8.0</w:t>
            </w:r>
            <w:r>
              <w:rPr>
                <w:b/>
                <w:sz w:val="20"/>
              </w:rPr>
              <w:br/>
            </w:r>
            <w:r>
              <w:rPr>
                <w:sz w:val="18"/>
              </w:rPr>
              <w:t>(Primary DB)</w:t>
            </w:r>
          </w:p>
        </w:tc>
      </w:tr>
      <w:tr w:rsidR="00577C0D" w14:paraId="0EEA1C9C" w14:textId="77777777">
        <w:trPr>
          <w:jc w:val="center"/>
        </w:trPr>
        <w:tc>
          <w:tcPr>
            <w:tcW w:w="1872" w:type="dxa"/>
            <w:shd w:val="clear" w:color="auto" w:fill="E6F3FF"/>
            <w:tcMar>
              <w:top w:w="60" w:type="dxa"/>
              <w:left w:w="60" w:type="dxa"/>
              <w:bottom w:w="60" w:type="dxa"/>
              <w:right w:w="60" w:type="dxa"/>
            </w:tcMar>
          </w:tcPr>
          <w:p w14:paraId="2D78B4E6" w14:textId="77777777" w:rsidR="00577C0D" w:rsidRDefault="00000000">
            <w:pPr>
              <w:jc w:val="center"/>
            </w:pPr>
            <w:r>
              <w:rPr>
                <w:b/>
                <w:sz w:val="20"/>
              </w:rPr>
              <w:t>React 18 / Tailwind</w:t>
            </w:r>
            <w:r>
              <w:rPr>
                <w:b/>
                <w:sz w:val="20"/>
              </w:rPr>
              <w:br/>
              <w:t>AmCharts 5</w:t>
            </w:r>
            <w:r>
              <w:rPr>
                <w:b/>
                <w:sz w:val="20"/>
              </w:rPr>
              <w:br/>
            </w:r>
          </w:p>
        </w:tc>
        <w:tc>
          <w:tcPr>
            <w:tcW w:w="1872" w:type="dxa"/>
          </w:tcPr>
          <w:p w14:paraId="0AC0A4D7" w14:textId="77777777" w:rsidR="00577C0D" w:rsidRDefault="00577C0D"/>
        </w:tc>
        <w:tc>
          <w:tcPr>
            <w:tcW w:w="1872" w:type="dxa"/>
            <w:shd w:val="clear" w:color="auto" w:fill="E6F3FF"/>
            <w:tcMar>
              <w:top w:w="60" w:type="dxa"/>
              <w:left w:w="60" w:type="dxa"/>
              <w:bottom w:w="60" w:type="dxa"/>
              <w:right w:w="60" w:type="dxa"/>
            </w:tcMar>
          </w:tcPr>
          <w:p w14:paraId="1B8071F2" w14:textId="77777777" w:rsidR="00577C0D" w:rsidRDefault="00000000">
            <w:pPr>
              <w:jc w:val="center"/>
            </w:pPr>
            <w:r>
              <w:rPr>
                <w:b/>
                <w:sz w:val="20"/>
              </w:rPr>
              <w:t>JWT Authentication</w:t>
            </w:r>
            <w:r>
              <w:rPr>
                <w:b/>
                <w:sz w:val="20"/>
              </w:rPr>
              <w:br/>
              <w:t>REST Controllers</w:t>
            </w:r>
            <w:r>
              <w:rPr>
                <w:b/>
                <w:sz w:val="20"/>
              </w:rPr>
              <w:br/>
            </w:r>
          </w:p>
        </w:tc>
        <w:tc>
          <w:tcPr>
            <w:tcW w:w="1872" w:type="dxa"/>
          </w:tcPr>
          <w:p w14:paraId="29A02057" w14:textId="77777777" w:rsidR="00577C0D" w:rsidRDefault="00577C0D"/>
        </w:tc>
        <w:tc>
          <w:tcPr>
            <w:tcW w:w="1872" w:type="dxa"/>
            <w:shd w:val="clear" w:color="auto" w:fill="E6F3FF"/>
            <w:tcMar>
              <w:top w:w="60" w:type="dxa"/>
              <w:left w:w="60" w:type="dxa"/>
              <w:bottom w:w="60" w:type="dxa"/>
              <w:right w:w="60" w:type="dxa"/>
            </w:tcMar>
          </w:tcPr>
          <w:p w14:paraId="7F0571C2" w14:textId="77777777" w:rsidR="00577C0D" w:rsidRDefault="00000000">
            <w:pPr>
              <w:jc w:val="center"/>
            </w:pPr>
            <w:r>
              <w:rPr>
                <w:b/>
                <w:sz w:val="20"/>
              </w:rPr>
              <w:t>Redis Cache</w:t>
            </w:r>
            <w:r>
              <w:rPr>
                <w:b/>
                <w:sz w:val="20"/>
              </w:rPr>
              <w:br/>
              <w:t>Normalized Schema</w:t>
            </w:r>
            <w:r>
              <w:rPr>
                <w:b/>
                <w:sz w:val="20"/>
              </w:rPr>
              <w:br/>
            </w:r>
          </w:p>
        </w:tc>
      </w:tr>
    </w:tbl>
    <w:p w14:paraId="46584D56" w14:textId="77777777" w:rsidR="00577C0D" w:rsidRDefault="00000000">
      <w:pPr>
        <w:pStyle w:val="Heading2"/>
      </w:pPr>
      <w:r>
        <w:rPr>
          <w:color w:val="003366"/>
        </w:rPr>
        <w:t>Key Technical Features</w:t>
      </w:r>
    </w:p>
    <w:p w14:paraId="449BACB7" w14:textId="77777777" w:rsidR="00577C0D" w:rsidRDefault="00000000">
      <w:r>
        <w:t>The platform addresses the core challenges through two specialized algorithmic implementations:</w:t>
      </w:r>
    </w:p>
    <w:tbl>
      <w:tblPr>
        <w:tblStyle w:val="TableGrid"/>
        <w:tblW w:w="0" w:type="auto"/>
        <w:tblLook w:val="04A0" w:firstRow="1" w:lastRow="0" w:firstColumn="1" w:lastColumn="0" w:noHBand="0" w:noVBand="1"/>
      </w:tblPr>
      <w:tblGrid>
        <w:gridCol w:w="4680"/>
        <w:gridCol w:w="4680"/>
      </w:tblGrid>
      <w:tr w:rsidR="00577C0D" w14:paraId="468408AA" w14:textId="77777777">
        <w:tc>
          <w:tcPr>
            <w:tcW w:w="4680" w:type="dxa"/>
            <w:shd w:val="clear" w:color="auto" w:fill="FAFAFA"/>
            <w:tcMar>
              <w:top w:w="80" w:type="dxa"/>
              <w:left w:w="80" w:type="dxa"/>
              <w:bottom w:w="80" w:type="dxa"/>
              <w:right w:w="80" w:type="dxa"/>
            </w:tcMar>
          </w:tcPr>
          <w:p w14:paraId="233DC578" w14:textId="77777777" w:rsidR="00577C0D" w:rsidRDefault="00000000">
            <w:r>
              <w:rPr>
                <w:b/>
              </w:rPr>
              <w:t>A. Dead Stock Detection Engine</w:t>
            </w:r>
            <w:r>
              <w:rPr>
                <w:b/>
              </w:rPr>
              <w:br/>
            </w:r>
            <w:r>
              <w:rPr>
                <w:i/>
              </w:rPr>
              <w:t xml:space="preserve">Technical Implementation: </w:t>
            </w:r>
            <w:r>
              <w:t>This feature relies on a scheduled nightly cron job. It executes a complex SQL query joining the `items` master table with the `transactions` history table. It filters for inventory where current quantity &gt; 0 AND no 'MOVE' or 'OUT' transaction types have occurred within a configurable 90-day window. The results are presented as a value-sorted liquidation list for procurement teams.</w:t>
            </w:r>
          </w:p>
        </w:tc>
        <w:tc>
          <w:tcPr>
            <w:tcW w:w="4680" w:type="dxa"/>
            <w:shd w:val="clear" w:color="auto" w:fill="FAFAFA"/>
            <w:tcMar>
              <w:top w:w="80" w:type="dxa"/>
              <w:left w:w="80" w:type="dxa"/>
              <w:bottom w:w="80" w:type="dxa"/>
              <w:right w:w="80" w:type="dxa"/>
            </w:tcMar>
          </w:tcPr>
          <w:p w14:paraId="13CD5008" w14:textId="77777777" w:rsidR="00577C0D" w:rsidRDefault="00000000">
            <w:r>
              <w:rPr>
                <w:b/>
              </w:rPr>
              <w:t>B. Transport Risk Radar</w:t>
            </w:r>
            <w:r>
              <w:rPr>
                <w:b/>
              </w:rPr>
              <w:br/>
            </w:r>
            <w:r>
              <w:rPr>
                <w:i/>
              </w:rPr>
              <w:t xml:space="preserve">Technical Implementation: </w:t>
            </w:r>
            <w:r>
              <w:t>The system aggregates historical transaction data, specifically isolating 'DAMAGE' transaction types. It calculates a rolling failure rate percentage for every unique source-destination route pair. Routes exceeding a 15% historical damage threshold trigger visual warnings during the transfer initiation workflow, prompting logistics managers to select alternative transport providers or enhanced packaging.</w:t>
            </w:r>
          </w:p>
        </w:tc>
      </w:tr>
    </w:tbl>
    <w:p w14:paraId="524D3FB8" w14:textId="77777777" w:rsidR="00577C0D" w:rsidRDefault="00000000">
      <w:pPr>
        <w:pBdr>
          <w:top w:val="single" w:sz="12" w:space="4" w:color="003366"/>
        </w:pBdr>
        <w:spacing w:before="240" w:after="120"/>
      </w:pPr>
      <w:r>
        <w:rPr>
          <w:b/>
          <w:color w:val="003366"/>
          <w:sz w:val="24"/>
        </w:rPr>
        <w:t>4. RESULT: OPERATIONAL IMPACT</w:t>
      </w:r>
    </w:p>
    <w:tbl>
      <w:tblPr>
        <w:tblStyle w:val="TableGrid"/>
        <w:tblW w:w="0" w:type="auto"/>
        <w:tblLook w:val="04A0" w:firstRow="1" w:lastRow="0" w:firstColumn="1" w:lastColumn="0" w:noHBand="0" w:noVBand="1"/>
      </w:tblPr>
      <w:tblGrid>
        <w:gridCol w:w="3120"/>
        <w:gridCol w:w="3120"/>
        <w:gridCol w:w="3120"/>
      </w:tblGrid>
      <w:tr w:rsidR="00577C0D" w14:paraId="688ACAE7" w14:textId="77777777">
        <w:tc>
          <w:tcPr>
            <w:tcW w:w="3120" w:type="dxa"/>
            <w:shd w:val="clear" w:color="auto" w:fill="F9F9F9"/>
            <w:tcMar>
              <w:top w:w="100" w:type="dxa"/>
              <w:left w:w="100" w:type="dxa"/>
              <w:bottom w:w="100" w:type="dxa"/>
              <w:right w:w="100" w:type="dxa"/>
            </w:tcMar>
          </w:tcPr>
          <w:p w14:paraId="78924723" w14:textId="77777777" w:rsidR="00577C0D" w:rsidRDefault="00000000">
            <w:pPr>
              <w:jc w:val="center"/>
            </w:pPr>
            <w:r>
              <w:rPr>
                <w:b/>
                <w:color w:val="003366"/>
                <w:sz w:val="44"/>
              </w:rPr>
              <w:t>30%</w:t>
            </w:r>
            <w:r>
              <w:rPr>
                <w:b/>
                <w:color w:val="003366"/>
                <w:sz w:val="44"/>
              </w:rPr>
              <w:br/>
            </w:r>
            <w:r>
              <w:rPr>
                <w:b/>
              </w:rPr>
              <w:t>Capital Recovered</w:t>
            </w:r>
            <w:r>
              <w:rPr>
                <w:b/>
              </w:rPr>
              <w:br/>
            </w:r>
            <w:r>
              <w:rPr>
                <w:sz w:val="18"/>
              </w:rPr>
              <w:t>(via Dead Stock liquidation)</w:t>
            </w:r>
          </w:p>
        </w:tc>
        <w:tc>
          <w:tcPr>
            <w:tcW w:w="3120" w:type="dxa"/>
            <w:shd w:val="clear" w:color="auto" w:fill="F9F9F9"/>
            <w:tcMar>
              <w:top w:w="100" w:type="dxa"/>
              <w:left w:w="100" w:type="dxa"/>
              <w:bottom w:w="100" w:type="dxa"/>
              <w:right w:w="100" w:type="dxa"/>
            </w:tcMar>
          </w:tcPr>
          <w:p w14:paraId="1EC00CFE" w14:textId="77777777" w:rsidR="00577C0D" w:rsidRDefault="00000000">
            <w:pPr>
              <w:jc w:val="center"/>
            </w:pPr>
            <w:r>
              <w:rPr>
                <w:b/>
                <w:color w:val="003366"/>
                <w:sz w:val="44"/>
              </w:rPr>
              <w:t>25%</w:t>
            </w:r>
            <w:r>
              <w:rPr>
                <w:b/>
                <w:color w:val="003366"/>
                <w:sz w:val="44"/>
              </w:rPr>
              <w:br/>
            </w:r>
            <w:r>
              <w:rPr>
                <w:b/>
              </w:rPr>
              <w:t>Space Optimized</w:t>
            </w:r>
            <w:r>
              <w:rPr>
                <w:b/>
              </w:rPr>
              <w:br/>
            </w:r>
            <w:r>
              <w:rPr>
                <w:sz w:val="18"/>
              </w:rPr>
              <w:t>(by consolidating inventory)</w:t>
            </w:r>
          </w:p>
        </w:tc>
        <w:tc>
          <w:tcPr>
            <w:tcW w:w="3120" w:type="dxa"/>
            <w:shd w:val="clear" w:color="auto" w:fill="F9F9F9"/>
            <w:tcMar>
              <w:top w:w="100" w:type="dxa"/>
              <w:left w:w="100" w:type="dxa"/>
              <w:bottom w:w="100" w:type="dxa"/>
              <w:right w:w="100" w:type="dxa"/>
            </w:tcMar>
          </w:tcPr>
          <w:p w14:paraId="48BF28BE" w14:textId="77777777" w:rsidR="00577C0D" w:rsidRDefault="00000000">
            <w:pPr>
              <w:jc w:val="center"/>
            </w:pPr>
            <w:r>
              <w:rPr>
                <w:b/>
                <w:color w:val="003366"/>
                <w:sz w:val="44"/>
              </w:rPr>
              <w:t>Real-Time</w:t>
            </w:r>
            <w:r>
              <w:rPr>
                <w:b/>
                <w:color w:val="003366"/>
                <w:sz w:val="44"/>
              </w:rPr>
              <w:br/>
            </w:r>
            <w:r>
              <w:rPr>
                <w:b/>
              </w:rPr>
              <w:t>Visibility Achieved</w:t>
            </w:r>
            <w:r>
              <w:rPr>
                <w:b/>
              </w:rPr>
              <w:br/>
            </w:r>
            <w:r>
              <w:rPr>
                <w:sz w:val="18"/>
              </w:rPr>
              <w:t>(across all active sites)</w:t>
            </w:r>
          </w:p>
        </w:tc>
      </w:tr>
    </w:tbl>
    <w:p w14:paraId="2F96DD81" w14:textId="77777777" w:rsidR="00577C0D" w:rsidRDefault="00577C0D">
      <w:pPr>
        <w:spacing w:before="240"/>
      </w:pPr>
    </w:p>
    <w:p w14:paraId="024A341D" w14:textId="77777777" w:rsidR="00A72876" w:rsidRDefault="00A72876"/>
    <w:sectPr w:rsidR="00A7287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5599469">
    <w:abstractNumId w:val="8"/>
  </w:num>
  <w:num w:numId="2" w16cid:durableId="7411083">
    <w:abstractNumId w:val="6"/>
  </w:num>
  <w:num w:numId="3" w16cid:durableId="1991786882">
    <w:abstractNumId w:val="5"/>
  </w:num>
  <w:num w:numId="4" w16cid:durableId="285237439">
    <w:abstractNumId w:val="4"/>
  </w:num>
  <w:num w:numId="5" w16cid:durableId="1851137467">
    <w:abstractNumId w:val="7"/>
  </w:num>
  <w:num w:numId="6" w16cid:durableId="49546400">
    <w:abstractNumId w:val="3"/>
  </w:num>
  <w:num w:numId="7" w16cid:durableId="394816586">
    <w:abstractNumId w:val="2"/>
  </w:num>
  <w:num w:numId="8" w16cid:durableId="344481181">
    <w:abstractNumId w:val="1"/>
  </w:num>
  <w:num w:numId="9" w16cid:durableId="1129127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3FD0"/>
    <w:rsid w:val="004E5CD3"/>
    <w:rsid w:val="00577C0D"/>
    <w:rsid w:val="00772EBA"/>
    <w:rsid w:val="00A7287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89BA9C"/>
  <w14:defaultImageDpi w14:val="300"/>
  <w15:docId w15:val="{D8ED9596-CCE8-42F1-ABAF-1109AE8B5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606</Words>
  <Characters>3457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Charchit Gangwar</cp:lastModifiedBy>
  <cp:revision>3</cp:revision>
  <dcterms:created xsi:type="dcterms:W3CDTF">2013-12-23T23:15:00Z</dcterms:created>
  <dcterms:modified xsi:type="dcterms:W3CDTF">2025-12-25T04:34:00Z</dcterms:modified>
  <cp:category/>
</cp:coreProperties>
</file>