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 Homework Assignment Online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initializes the submission.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there are more questions, the student adds more answer pages. Return question ID and total number of pages for each question.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student ends the submission and a list of the pages assigned to each question are returned.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student approves or cancels submission. Confirmation results in the system returning time and date of submission. Cancellation results in returning a canceled message.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Arrows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+2 pts: Has "makeNewSubmission" arrow from Student to System or similar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+2 pts: Has "enterAnswer(questionID, answerPages)" or similar from Student to System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+1 pts: Returns questionID and total number of associated pages to Student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+2 pts: Has "endSubmission" arrow from Student to System or similar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+1 pts: Returns list of answer pages per question to Student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+2 pts: Has "approveSubmission(approval)" arrow from Student to System or similar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+1 pts: Returns submission date and time in “confirmation” section of conditional or similar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+1 pts: Returns cancellation message in “else” section of conditional or similar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Formatting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+2 pts: Has loop around "enterAnswer" and the return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highlight w:val="white"/>
          <w:rtl w:val="0"/>
        </w:rPr>
        <w:t xml:space="preserve">+2 pts: Conditional block for submission approval is present and labeled as 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highlight w:val="white"/>
          <w:rtl w:val="0"/>
        </w:rPr>
        <w:t xml:space="preserve">+1 pts: Conditional else block for submission cancellation is present and labeled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