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pBdr>
          <w:top w:space="135"/>
        </w:pBdr>
        <w:spacing w:before="90" w:after="90" w:line="432"/>
        <w:ind w:left="90" w:right="90" w:firstLine="480"/>
        <w:jc w:val="center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pacing w:val="30"/>
          <w:sz w:val="64"/>
        </w:rPr>
        <w:t>海岳机电点检维修协同试点设计方案</w:t>
      </w:r>
    </w:p>
    <w:p w14:paraId="488004F7">
      <w:pPr>
        <w:pBdr>
          <w:top w:space="135"/>
        </w:pBdr>
        <w:spacing w:before="270" w:after="90" w:line="432"/>
        <w:ind w:left="90" w:right="90" w:firstLine="480"/>
        <w:jc w:val="center"/>
        <w:rPr>
          <w:color w:val="444444"/>
        </w:rPr>
      </w:pPr>
      <w:r>
        <w:rPr>
          <w:rFonts w:hint="eastAsia" w:ascii="SimSun" w:hAnsi="SimSun" w:eastAsia="SimSun" w:cs="SimSun"/>
          <w:color w:val="444444"/>
          <w:sz w:val="28"/>
        </w:rPr>
        <w:t>点检辅助与派工建议 · AI 试点（10 台设备 · 8 周）</w:t>
      </w:r>
    </w:p>
    <w:p w14:paraId="12ACBCF0">
      <w:pPr>
        <w:pBdr>
          <w:top w:space="135"/>
        </w:pBdr>
        <w:spacing w:before="1800" w:line="480"/>
        <w:jc w:val="center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22"/>
        </w:rPr>
        <w:t>项目名称：设备点检与维修协同 AI 试点</w:t>
      </w:r>
      <w:r>
        <w:br w:type="textWrapping"/>
      </w:r>
      <w:r>
        <w:rPr>
          <w:rFonts w:hint="eastAsia" w:ascii="SimSun" w:hAnsi="SimSun" w:eastAsia="SimSun" w:cs="SimSun"/>
          <w:color w:val="666666"/>
          <w:sz w:val="22"/>
        </w:rPr>
        <w:t>编制日期：2026 年 10 月 23 日</w:t>
      </w:r>
      <w:r>
        <w:br w:type="textWrapping"/>
      </w:r>
      <w:r>
        <w:rPr>
          <w:rFonts w:hint="eastAsia" w:ascii="SimSun" w:hAnsi="SimSun" w:eastAsia="SimSun" w:cs="SimSun"/>
          <w:color w:val="666666"/>
          <w:sz w:val="22"/>
        </w:rPr>
        <w:t>文档属性：设计方案（课程演示 · 合成场景）</w:t>
      </w:r>
    </w:p>
    <w:p w14:paraId="0B801F36">
      <w:pPr>
        <w:spacing w:before="240" w:after="120"/>
      </w:pPr>
      <w:r>
        <w:rPr>
          <w:rFonts w:hint="eastAsia"/>
          <w:b w:val="1"/>
        </w:rPr>
        <w:t>目 录</w:t>
      </w:r>
    </w:p>
    <w:p w14:paraId="5E927BF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"d-1" </w:instrText>
      </w:r>
      <w:r>
        <w:fldChar w:fldCharType="separate" w:fldLock="0" w:dirty="0"/>
      </w:r>
      <w:r>
        <w:rPr>
          <w:rFonts w:hint="eastAsia"/>
        </w:rPr>
        <w:t>一、项目目标与范围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d-1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6C870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"d-2" </w:instrText>
      </w:r>
      <w:r>
        <w:fldChar w:fldCharType="separate" w:fldLock="0" w:dirty="0"/>
      </w:r>
      <w:r>
        <w:rPr>
          <w:rFonts w:hint="eastAsia"/>
        </w:rPr>
        <w:t>二、总体架构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d-2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CB3D4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"d-3" </w:instrText>
      </w:r>
      <w:r>
        <w:fldChar w:fldCharType="separate" w:fldLock="0" w:dirty="0"/>
      </w:r>
      <w:r>
        <w:rPr>
          <w:rFonts w:hint="eastAsia"/>
        </w:rPr>
        <w:t>三、核心业务方案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d-3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36AD6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"d-4" </w:instrText>
      </w:r>
      <w:r>
        <w:fldChar w:fldCharType="separate" w:fldLock="0" w:dirty="0"/>
      </w:r>
      <w:r>
        <w:rPr>
          <w:rFonts w:hint="eastAsia"/>
        </w:rPr>
        <w:t>四、试点实施计划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d-4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5DBE3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"d-5" </w:instrText>
      </w:r>
      <w:r>
        <w:fldChar w:fldCharType="separate" w:fldLock="0" w:dirty="0"/>
      </w:r>
      <w:r>
        <w:rPr>
          <w:rFonts w:hint="eastAsia"/>
        </w:rPr>
        <w:t>五、验收与风险控制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d-5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25BD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"d-6" </w:instrText>
      </w:r>
      <w:r>
        <w:fldChar w:fldCharType="separate" w:fldLock="0" w:dirty="0"/>
      </w:r>
      <w:r>
        <w:rPr>
          <w:rFonts w:hint="eastAsia"/>
        </w:rPr>
        <w:t>六、预算与报价衔接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d-6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3DB7BC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1CB4AAD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1" w:name="d-1"/>
      <w:r>
        <w:rPr>
          <w:rFonts w:hint="eastAsia" w:ascii="SimHei" w:hAnsi="SimHei" w:eastAsia="SimHei" w:cs="SimHei"/>
          <w:b w:val="1"/>
          <w:color w:val="ffffff"/>
          <w:sz w:val="32"/>
        </w:rPr>
        <w:t>一、项目目标与范围</w:t>
      </w:r>
      <w:bookmarkEnd w:id="1"/>
    </w:p>
    <w:p w14:paraId="21C90126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1.1 业务目标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8ED916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E3DADF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现状基线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6D90E0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目标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00D90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口径说明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A5FCE1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非计划停机时长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A1697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96 小时/月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6FDE05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≤ 60 小时/月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12BFD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记录责任人与起止点待顾明岚确认（f00）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132952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首次响应时长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2927A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40 分钟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28053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≤ 15 分钟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86F432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建议以故障上报为起点，验收权重优先（f00）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6397C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查历史案例耗时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05CA1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平均 30 分钟/次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6ACCD5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显著缩短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9591FF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由 AI 带原记录引用随单推荐（f12/f15）</w:t>
            </w:r>
          </w:p>
        </w:tc>
      </w:tr>
    </w:tbl>
    <w:p w14:paraId="4BDCA6F9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1.2 试点范围（硬约束）</w:t>
      </w:r>
    </w:p>
    <w:p w14:paraId="5549E4CF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范围</w:t>
      </w:r>
      <w:r>
        <w:rPr>
          <w:rFonts w:hint="eastAsia" w:ascii="SimSun" w:hAnsi="SimSun" w:eastAsia="SimSun" w:cs="SimSun"/>
          <w:color w:val="1a1a1a"/>
          <w:sz w:val="24"/>
        </w:rPr>
        <w:t>：单检修作业区 10 台设备，试点 8 周（f02）。</w:t>
      </w:r>
    </w:p>
    <w:p w14:paraId="5992829F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验收门槛</w:t>
      </w:r>
      <w:r>
        <w:rPr>
          <w:rFonts w:hint="eastAsia" w:ascii="SimSun" w:hAnsi="SimSun" w:eastAsia="SimSun" w:cs="SimSun"/>
          <w:color w:val="1a1a1a"/>
          <w:sz w:val="24"/>
        </w:rPr>
        <w:t>：误报率低于 8%，维修记录完整率 ≥ 95%（f02）。</w:t>
      </w:r>
    </w:p>
    <w:p w14:paraId="656D5730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预算</w:t>
      </w:r>
      <w:r>
        <w:rPr>
          <w:rFonts w:hint="eastAsia" w:ascii="SimSun" w:hAnsi="SimSun" w:eastAsia="SimSun" w:cs="SimSun"/>
          <w:color w:val="1a1a1a"/>
          <w:sz w:val="24"/>
        </w:rPr>
        <w:t>：首期 15 万元封顶，含集成、培训与验证；收益核算须扣除维护与人工复核成本（f03）。</w:t>
      </w:r>
    </w:p>
    <w:p w14:paraId="5F160BA4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AI 边界</w:t>
      </w:r>
      <w:r>
        <w:rPr>
          <w:rFonts w:hint="eastAsia" w:ascii="SimSun" w:hAnsi="SimSun" w:eastAsia="SimSun" w:cs="SimSun"/>
          <w:color w:val="1a1a1a"/>
          <w:sz w:val="24"/>
        </w:rPr>
        <w:t>：仅做点检辅助与派工建议，不自动执行维修、不解除保护、不修改报警状态（f05/f52）；接口仅读取状态与工单，禁止远程控制与解锁（f32）。</w:t>
      </w:r>
    </w:p>
    <w:p w14:paraId="329E1A31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2" w:name="d-2"/>
      <w:r>
        <w:rPr>
          <w:rFonts w:hint="eastAsia" w:ascii="SimHei" w:hAnsi="SimHei" w:eastAsia="SimHei" w:cs="SimHei"/>
          <w:b w:val="1"/>
          <w:color w:val="ffffff"/>
          <w:sz w:val="32"/>
        </w:rPr>
        <w:t>二、总体架构</w:t>
      </w:r>
      <w:bookmarkEnd w:id="2"/>
    </w:p>
    <w:p w14:paraId="4265B24D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2.1 系统组成</w:t>
      </w:r>
    </w:p>
    <w:p w14:paraId="03B72473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点检协同终端（现有终端复用）</w:t>
      </w:r>
      <w:r>
        <w:rPr>
          <w:rFonts w:hint="eastAsia" w:ascii="SimSun" w:hAnsi="SimSun" w:eastAsia="SimSun" w:cs="SimSun"/>
          <w:color w:val="1a1a1a"/>
          <w:sz w:val="24"/>
        </w:rPr>
        <w:t>：结构化点检表单，判断依据当场可填、草稿可暂存、显示最后同步时间（f13）。</w:t>
      </w:r>
    </w:p>
    <w:p w14:paraId="713C5C19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AI 建议引擎（RAG 检索增强）</w:t>
      </w:r>
      <w:r>
        <w:rPr>
          <w:rFonts w:hint="eastAsia" w:ascii="SimSun" w:hAnsi="SimSun" w:eastAsia="SimSun" w:cs="SimSun"/>
          <w:color w:val="1a1a1a"/>
          <w:sz w:val="24"/>
        </w:rPr>
        <w:t>：基于历史案例库（如 M-0912 主轴轴承磨损案例）与点检记录生成派工建议，建议必须显示对应原记录与待确认字段（f15）。</w:t>
      </w:r>
    </w:p>
    <w:p w14:paraId="2F33E422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数据质量前置校验模块</w:t>
      </w:r>
      <w:r>
        <w:rPr>
          <w:rFonts w:hint="eastAsia" w:ascii="SimSun" w:hAnsi="SimSun" w:eastAsia="SimSun" w:cs="SimSun"/>
          <w:color w:val="1a1a1a"/>
          <w:sz w:val="24"/>
        </w:rPr>
        <w:t>：按主编号、事件时间、版本三项校验；歧义记录进入人工修复队列，不进入自动推荐样本（f33）。</w:t>
      </w:r>
    </w:p>
    <w:p w14:paraId="0FECFBD1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双口径看板</w:t>
      </w:r>
      <w:r>
        <w:rPr>
          <w:rFonts w:hint="eastAsia" w:ascii="SimSun" w:hAnsi="SimSun" w:eastAsia="SimSun" w:cs="SimSun"/>
          <w:color w:val="1a1a1a"/>
          <w:sz w:val="24"/>
        </w:rPr>
        <w:t>：分别记录设备部"修好"与生产"恢复稳定产出"计时，空档 = 复产确认 − 维修完成（f50）。</w:t>
      </w:r>
    </w:p>
    <w:p w14:paraId="7700A429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审计留痕模块</w:t>
      </w:r>
      <w:r>
        <w:rPr>
          <w:rFonts w:hint="eastAsia" w:ascii="SimSun" w:hAnsi="SimSun" w:eastAsia="SimSun" w:cs="SimSun"/>
          <w:color w:val="1a1a1a"/>
          <w:sz w:val="24"/>
        </w:rPr>
        <w:t>：每次建议保留业务编号、资料版本、事实引用、建议结果、人工改动、签核人六要素，评价记录留存 90 天（f45/f43）。</w:t>
      </w:r>
    </w:p>
    <w:p w14:paraId="629F66DB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2.2 集成与数据边界</w:t>
      </w:r>
    </w:p>
    <w:p w14:paraId="64253CF3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数据源：EAM（台账/工单）、MES（生产状态）、传感器网关（点检记录、振动趋势），账号权限独立维护，试点期不建统一写视图（f30）。</w:t>
      </w:r>
    </w:p>
    <w:p w14:paraId="1F5DEE38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更新周期：每 15 分钟更新已授权业务状态；超一个周期标"待刷新"，不作实时承诺；接口中断时降级为带时间戳的只读快照并显示"暂未更新"（f34/f35）。</w:t>
      </w:r>
    </w:p>
    <w:p w14:paraId="427B0011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已知数据问题：H-1023 传感器时钟较网关快 3 分钟；备件编码 BRG-6204 缺替代关系——试点前完成字段盘点与补录（f31）。</w:t>
      </w:r>
    </w:p>
    <w:p w14:paraId="52755986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3" w:name="d-3"/>
      <w:r>
        <w:rPr>
          <w:rFonts w:hint="eastAsia" w:ascii="SimHei" w:hAnsi="SimHei" w:eastAsia="SimHei" w:cs="SimHei"/>
          <w:b w:val="1"/>
          <w:color w:val="ffffff"/>
          <w:sz w:val="32"/>
        </w:rPr>
        <w:t>三、核心业务方案</w:t>
      </w:r>
      <w:bookmarkEnd w:id="3"/>
    </w:p>
    <w:p w14:paraId="38E506B3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3.1 需求-功能映射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396E76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需求编号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B697A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C97C7A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方案要点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5AF0F7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优先级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46C20C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REQ-1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EB545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点检判断依据结构化随单交接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AED3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结构化字段（异常现象/部位/判断依据）当场可填、可暂存、随单交接；下一班可读性作为观察项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04EBCE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P0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60FF95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REQ-2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D36A5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误报明确记录与复核路径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6B2CC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技师暂停 → 备件计划员核对 → 继续；错误结果不覆盖原记录，核对结论另存留痕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D924E8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P0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3E50E9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REQ-3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F8085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试点范围与选机规则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74AEB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出单作业区成本分解与选机规则草案（按故障频次或点检工作量），顾明岚确认后锁名单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82B132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P0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9EC113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REQ-4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0FC701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维修完成与复产确认双口径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531DC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各岗完成时间分开记录，固定分母（10 台）、排除规则（计划停机/换型）、同一业务不重复计数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DC9BD3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P1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F80F92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REQ-5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DBEA3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数据质量前置校验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4808A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主编号/时间/版本校验；人工修复队列定责任人、时限、回退规则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DFC087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P1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3FF4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REQ-6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4EC194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反馈闭环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AD897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每周收集技师/备件/调度三方误判与未解决问题；响应时限、闭环判定人、升级路径待顾明岚确认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3F5279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P2</w:t>
            </w:r>
          </w:p>
        </w:tc>
      </w:tr>
    </w:tbl>
    <w:p w14:paraId="5A1566A7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3.2 关键流程设计</w:t>
      </w:r>
    </w:p>
    <w:p w14:paraId="156B2884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主流程沿用"日常点检 → 故障上报 → 停机确认 → 维修派工 → 试运行 → 复产"（f01），在三个环节嵌入 AI：</w:t>
      </w:r>
    </w:p>
    <w:p w14:paraId="2CAB7D91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点检环节</w:t>
      </w:r>
      <w:r>
        <w:rPr>
          <w:rFonts w:hint="eastAsia" w:ascii="SimSun" w:hAnsi="SimSun" w:eastAsia="SimSun" w:cs="SimSun"/>
          <w:color w:val="1a1a1a"/>
          <w:sz w:val="24"/>
        </w:rPr>
        <w:t>：结构化表单替代自由描述；交接五要素（业务编号、当前版本、处理状态、未解决事项、接手人）齐全才算交接成立，对方确认接手本岗待办才结束（f23）。</w:t>
      </w:r>
    </w:p>
    <w:p w14:paraId="35EC70BD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派工环节</w:t>
      </w:r>
      <w:r>
        <w:rPr>
          <w:rFonts w:hint="eastAsia" w:ascii="SimSun" w:hAnsi="SimSun" w:eastAsia="SimSun" w:cs="SimSun"/>
          <w:color w:val="1a1a1a"/>
          <w:sz w:val="24"/>
        </w:rPr>
        <w:t>：AI 派工建议带置信度与原记录引用，仅提示不改状态；技师判断"采纳或暂停"，暂停触发四类转人工条件——传感器漂移、资料缺依据、版本冲突、系统不可用（f44）。</w:t>
      </w:r>
    </w:p>
    <w:p w14:paraId="383FA446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复产环节</w:t>
      </w:r>
      <w:r>
        <w:rPr>
          <w:rFonts w:hint="eastAsia" w:ascii="SimSun" w:hAnsi="SimSun" w:eastAsia="SimSun" w:cs="SimSun"/>
          <w:color w:val="1a1a1a"/>
          <w:sz w:val="24"/>
        </w:rPr>
        <w:t>：双口径计时 + 复产空档可见，空档超阈值走跨岗反馈（调度受理、备件核对，f54）。</w:t>
      </w:r>
    </w:p>
    <w:p w14:paraId="2280EA4D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3.3 安全与权限设计</w:t>
      </w:r>
    </w:p>
    <w:p w14:paraId="26AB7C9F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LOTO 挂牌与复产安全确认必须由授权人员执行，AI 不可替代（f40）。</w:t>
      </w:r>
    </w:p>
    <w:p w14:paraId="76CE3755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资料查看按岗位授权：点检记录、振动趋势、维修手册、备件替代清单仅授权岗位可见（f41）。</w:t>
      </w:r>
    </w:p>
    <w:p w14:paraId="204895F2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安全负责人对关键风险一票否决；触及停止条件即暂停试点并由负责人复盘（f04/f42）。</w:t>
      </w:r>
    </w:p>
    <w:p w14:paraId="30AD4D6C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4" w:name="d-4"/>
      <w:r>
        <w:rPr>
          <w:rFonts w:hint="eastAsia" w:ascii="SimHei" w:hAnsi="SimHei" w:eastAsia="SimHei" w:cs="SimHei"/>
          <w:b w:val="1"/>
          <w:color w:val="ffffff"/>
          <w:sz w:val="32"/>
        </w:rPr>
        <w:t>四、试点实施计划</w:t>
      </w:r>
      <w:bookmarkEnd w:id="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B81F12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阶段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36C60E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周期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9BEFC5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主要工作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4EE6B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出口标准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6AF4B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T0 准备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6B503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第 0—1 周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7507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字段盘点（时钟偏差/编码缺失比例）、选机规则确认、字段口径三方确认（填写人/复核人/工时归属）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71706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顾明岚锁定试点名单与口径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537F53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T1 历史回放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3ECDB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第 2—3 周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ADB52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历史误报样本回放，验证"暂停—核对—继续"路径可重建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8CA239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回放样本三步齐全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EB2B4A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T2 并行试点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EBDDC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第 4—8 周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25FFE4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10 台设备并行运行，每周三方反馈单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5F19FA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误报率低于 8%、完整率 ≥ 95%</w:t>
            </w:r>
          </w:p>
        </w:tc>
      </w:tr>
      <w:tr>
        <w:trPr/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42D0F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T3 验收复盘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3B374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第 9 周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815D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双口径数据汇总、审计链路核查、扩展方案编制</w:t>
            </w:r>
          </w:p>
        </w:tc>
        <w:tc>
          <w:tcPr>
            <w:tcW w:w="2076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87EA8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验收签字 + 90 天留存归档</w:t>
            </w:r>
          </w:p>
        </w:tc>
      </w:tr>
    </w:tbl>
    <w:p w14:paraId="711783D0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5" w:name="d-5"/>
      <w:r>
        <w:rPr>
          <w:rFonts w:hint="eastAsia" w:ascii="SimHei" w:hAnsi="SimHei" w:eastAsia="SimHei" w:cs="SimHei"/>
          <w:b w:val="1"/>
          <w:color w:val="ffffff"/>
          <w:sz w:val="32"/>
        </w:rPr>
        <w:t>五、验收与风险控制</w:t>
      </w:r>
      <w:bookmarkEnd w:id="5"/>
    </w:p>
    <w:p w14:paraId="012C3B62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5.1 验收标准</w:t>
      </w:r>
    </w:p>
    <w:p w14:paraId="40B31C9B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过程指标：首次响应 ≤ 15 分钟（设备部可直接管控，验收权重优先）。</w:t>
      </w:r>
    </w:p>
    <w:p w14:paraId="79E7A0EE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结果指标：非计划停机 ≤ 60 小时/月（受生产节奏影响，口径锁定后计权重）。</w:t>
      </w:r>
    </w:p>
    <w:p w14:paraId="60ECC3E6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安全核验：LOTO 授权执行、审计链路可重建、停止条件零触发为通过前提（f40/f42/f45）。</w:t>
      </w:r>
    </w:p>
    <w:p w14:paraId="1201F233">
      <w:pPr>
        <w:pStyle w:val="000005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5.2 风险与对策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FC40C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风险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0D8B2C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影响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BCE44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对策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E6996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误报判定人与完整率字段口径未锁定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4368CE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验收扯皮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8584E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T0 阶段由顾明岚签字锁定后再开试点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624C6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一线填写负担重，退回便签习惯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80129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数据完整率不达标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F9F2A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字段当场可填、可暂存；工时归属写入方案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A1EB3E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数据质量问题（时钟/编码）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65DA1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建议可信度下降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39329E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前置校验 + 人工修复队列，不进推荐样本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FF4D9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接口中断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8A454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试点阻塞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01777C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只读快照降级，人工流程照常运行（f35）</w:t>
            </w:r>
          </w:p>
        </w:tc>
      </w:tr>
    </w:tbl>
    <w:p w14:paraId="28EC50A2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6" w:name="d-6"/>
      <w:r>
        <w:rPr>
          <w:rFonts w:hint="eastAsia" w:ascii="SimHei" w:hAnsi="SimHei" w:eastAsia="SimHei" w:cs="SimHei"/>
          <w:b w:val="1"/>
          <w:color w:val="ffffff"/>
          <w:sz w:val="32"/>
        </w:rPr>
        <w:t>六、预算与报价衔接</w:t>
      </w:r>
      <w:bookmarkEnd w:id="6"/>
    </w:p>
    <w:p w14:paraId="3F6F51E0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首期预算 15 万元封顶（f03），按"集成 / 培训 / 验证"三块单列核算，维护成本与人工复核成本单列；具体分项报价详见《报价单》。收益不把节省工时直接当现金回款。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8fafc"/>
            <w:vAlign w:val="center"/>
          </w:tcPr>
          <w:p w14:paraId="27BEE5CA">
            <w:pPr>
              <w:rPr>
                <w:color w:val="64748b"/>
              </w:rPr>
            </w:pPr>
            <w:r>
              <w:rPr>
                <w:rFonts w:hint="eastAsia" w:ascii="SimSun" w:hAnsi="SimSun" w:eastAsia="SimSun" w:cs="SimSun"/>
                <w:color w:val="64748b"/>
                <w:sz w:val="19"/>
              </w:rPr>
              <w:t>本方案基于《业务需求发现报告》（REQ-1~REQ-6，证据 f00~f55）编制，需求为待验证假设，试点结论以 8 周实测为准。</w:t>
            </w:r>
          </w:p>
        </w:tc>
      </w:tr>
    </w:tbl>
    <w:p w14:paraId="1EDE35B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30871255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17CD87E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0"/>
  </w:num>
  <w:num w:numId="3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7" w:uiPriority="39" w:semiHidden="1" w:unhideWhenUsed="1"/>
    <w:lsdException w:name="table of figures" w:semiHidden="1" w:unhideWhenUsed="1"/>
    <w:lsdException w:name="heading 2" w:uiPriority="9" w:semiHidden="1" w:unhideWhenUsed="1" w:qFormat="1"/>
    <w:lsdException w:name="Body Text Indent 3" w:semiHidden="1" w:unhideWhenUsed="1"/>
    <w:lsdException w:name="heading 5" w:uiPriority="9" w:semiHidden="1" w:unhideWhenUsed="1" w:qFormat="1"/>
    <w:lsdException w:name="index 3" w:semiHidden="1" w:unhideWhenUsed="1"/>
    <w:lsdException w:name="Hyperlink" w:semiHidden="1" w:unhideWhenUsed="1"/>
    <w:lsdException w:name="List" w:semiHidden="1" w:unhideWhenUsed="1"/>
    <w:lsdException w:name="footnote reference" w:semiHidden="1" w:unhideWhenUsed="1"/>
    <w:lsdException w:name="Body Text First Indent 2" w:semiHidden="1" w:unhideWhenUsed="1"/>
    <w:lsdException w:name="annotation reference" w:semiHidden="1" w:unhideWhenUsed="1"/>
    <w:lsdException w:name="Message Header" w:semiHidden="1" w:unhideWhenUsed="1"/>
    <w:lsdException w:name="page number" w:semiHidden="1" w:unhideWhenUsed="1"/>
    <w:lsdException w:name="Date" w:semiHidden="1" w:unhideWhenUsed="1"/>
    <w:lsdException w:name="List Bullet" w:semiHidden="1" w:unhideWhenUsed="1"/>
    <w:lsdException w:name="Closing" w:semiHidden="1" w:unhideWhenUsed="1"/>
    <w:lsdException w:name="toc 5" w:uiPriority="39" w:semiHidden="1" w:unhideWhenUsed="1"/>
    <w:lsdException w:name="Salutation" w:semiHidden="1" w:unhideWhenUsed="1"/>
    <w:lsdException w:name="index 8" w:semiHidden="1" w:unhideWhenUsed="1"/>
    <w:lsdException w:name="heading 4" w:uiPriority="9" w:semiHidden="1" w:unhideWhenUsed="1" w:qFormat="1"/>
    <w:lsdException w:name="envelope return" w:semiHidden="1" w:unhideWhenUsed="1"/>
    <w:lsdException w:name="Signature" w:semiHidden="1" w:unhideWhenUsed="1"/>
    <w:lsdException w:name="index 4" w:semiHidden="1" w:unhideWhenUsed="1"/>
    <w:lsdException w:name="heading 3" w:uiPriority="9" w:semiHidden="1" w:unhideWhenUsed="1" w:qFormat="1"/>
    <w:lsdException w:name="List Continue 3" w:semiHidden="1" w:unhideWhenUsed="1"/>
    <w:lsdException w:name="Body Text 3" w:semiHidden="1" w:unhideWhenUsed="1"/>
    <w:lsdException w:name="Block Text" w:semiHidden="1" w:unhideWhenUsed="1"/>
    <w:lsdException w:name="index 1" w:semiHidden="1" w:unhideWhenUsed="1"/>
    <w:lsdException w:name="List Continue 2" w:semiHidden="1" w:unhideWhenUsed="1"/>
    <w:lsdException w:name="List Bullet 3" w:semiHidden="1" w:unhideWhenUsed="1"/>
    <w:lsdException w:name="List 5" w:semiHidden="1" w:unhideWhenUsed="1"/>
    <w:lsdException w:name="List 2" w:semiHidden="1" w:unhideWhenUsed="1"/>
    <w:lsdException w:name="toc 2" w:uiPriority="39" w:semiHidden="1" w:unhideWhenUsed="1"/>
    <w:lsdException w:name="Body Text Indent" w:semiHidden="1" w:unhideWhenUsed="1"/>
    <w:lsdException w:name="List Bullet 4" w:semiHidden="1" w:unhideWhenUsed="1"/>
    <w:lsdException w:name="List 3" w:semiHidden="1" w:unhideWhenUsed="1"/>
    <w:lsdException w:name="Subtitle" w:uiPriority="11" w:qFormat="1"/>
    <w:lsdException w:name="footnote text" w:semiHidden="1" w:unhideWhenUsed="1"/>
    <w:lsdException w:name="line number" w:semiHidden="1" w:unhideWhenUsed="1"/>
    <w:lsdException w:name="heading 9" w:uiPriority="9" w:semiHidden="1" w:unhideWhenUsed="1" w:qFormat="1"/>
    <w:lsdException w:name="Note Heading" w:semiHidden="1" w:unhideWhenUsed="1"/>
    <w:lsdException w:name="Body Text" w:semiHidden="1" w:unhideWhenUsed="1"/>
    <w:lsdException w:name="heading 8" w:uiPriority="9" w:semiHidden="1" w:unhideWhenUsed="1" w:qFormat="1"/>
    <w:lsdException w:name="List Number 4" w:semiHidden="1" w:unhideWhenUsed="1"/>
    <w:lsdException w:name="envelope address" w:semiHidden="1" w:unhideWhenUsed="1"/>
    <w:lsdException w:name="Normal Indent" w:semiHidden="1" w:unhideWhenUsed="1"/>
    <w:lsdException w:name="index 9" w:semiHidden="1" w:unhideWhenUsed="1"/>
    <w:lsdException w:name="FollowedHyperlink" w:semiHidden="1" w:unhideWhenUsed="1"/>
    <w:lsdException w:name="List Number 5" w:semiHidden="1" w:unhideWhenUsed="1"/>
    <w:lsdException w:name="annotation text" w:semiHidden="1" w:unhideWhenUsed="1"/>
    <w:lsdException w:name="index 2" w:semiHidden="1" w:unhideWhenUsed="1"/>
    <w:lsdException w:name="heading 1" w:uiPriority="9" w:qFormat="1"/>
    <w:lsdException w:name="List 4" w:semiHidden="1" w:unhideWhenUsed="1"/>
    <w:lsdException w:name="index 7" w:semiHidden="1" w:unhideWhenUsed="1"/>
    <w:lsdException w:name="Title" w:uiPriority="10" w:qFormat="1"/>
    <w:lsdException w:name="index heading" w:semiHidden="1" w:unhideWhenUsed="1"/>
    <w:lsdException w:name="toc 4" w:uiPriority="39" w:semiHidden="1" w:unhideWhenUsed="1"/>
    <w:lsdException w:name="toc 9" w:uiPriority="39" w:semiHidden="1" w:unhideWhenUsed="1"/>
    <w:lsdException w:name="List Bullet 2" w:semiHidden="1" w:unhideWhenUsed="1"/>
    <w:lsdException w:name="List Continue 4" w:semiHidden="1" w:unhideWhenUsed="1"/>
    <w:lsdException w:name="footer" w:semiHidden="1" w:unhideWhenUsed="1"/>
    <w:lsdException w:name="List Bullet 5" w:semiHidden="1" w:unhideWhenUsed="1"/>
    <w:lsdException w:name="toc 1" w:uiPriority="39" w:semiHidden="1" w:unhideWhenUsed="1"/>
    <w:lsdException w:name="toc 6" w:uiPriority="39" w:semiHidden="1" w:unhideWhenUsed="1"/>
    <w:lsdException w:name="List Continue" w:semiHidden="1" w:unhideWhenUsed="1"/>
    <w:lsdException w:name="heading 6" w:uiPriority="9" w:semiHidden="1" w:unhideWhenUsed="1" w:qFormat="1"/>
    <w:lsdException w:name="header" w:semiHidden="1" w:unhideWhenUsed="1"/>
    <w:lsdException w:name="endnote reference" w:semiHidden="1" w:unhideWhenUsed="1"/>
    <w:lsdException w:name="toa heading" w:semiHidden="1" w:unhideWhenUsed="1"/>
    <w:lsdException w:name="heading 7" w:uiPriority="9" w:semiHidden="1" w:unhideWhenUsed="1" w:qFormat="1"/>
    <w:lsdException w:name="endnote text" w:semiHidden="1" w:unhideWhenUsed="1"/>
    <w:lsdException w:name="Strong" w:uiPriority="22" w:qFormat="1"/>
    <w:lsdException w:name="List Number 2" w:semiHidden="1" w:unhideWhenUsed="1"/>
    <w:lsdException w:name="index 5" w:semiHidden="1" w:unhideWhenUsed="1"/>
    <w:lsdException w:name="Default Paragraph Font" w:uiPriority="1" w:semiHidden="1" w:unhideWhenUsed="1"/>
    <w:lsdException w:name="caption" w:uiPriority="35" w:semiHidden="1" w:unhideWhenUsed="1" w:qFormat="1"/>
    <w:lsdException w:name="List Number" w:semiHidden="1" w:unhideWhenUsed="1"/>
    <w:lsdException w:name="Normal" w:uiPriority="0" w:qFormat="1"/>
    <w:lsdException w:name="table of authorities" w:semiHidden="1" w:unhideWhenUsed="1"/>
    <w:lsdException w:name="List Number 3" w:semiHidden="1" w:unhideWhenUsed="1"/>
    <w:lsdException w:name="index 6" w:semiHidden="1" w:unhideWhenUsed="1"/>
    <w:lsdException w:name="Body Text First Indent" w:semiHidden="1" w:unhideWhenUsed="1"/>
    <w:lsdException w:name="Body Text 2" w:semiHidden="1" w:unhideWhenUsed="1"/>
    <w:lsdException w:name="toc 3" w:uiPriority="39" w:semiHidden="1" w:unhideWhenUsed="1"/>
    <w:lsdException w:name="Body Text Indent 2" w:semiHidden="1" w:unhideWhenUsed="1"/>
    <w:lsdException w:name="toc 8" w:uiPriority="39" w:semiHidden="1" w:unhideWhenUsed="1"/>
    <w:lsdException w:name="List Continue 5" w:semiHidden="1" w:unhideWhenUsed="1"/>
    <w:lsdException w:name="macro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2026-10-23T17:06:32Z</dcterms:created>
  <dcterms:modified xsi:type="dcterms:W3CDTF">2026-10-23T17:06:32Z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"01a167fe42197484a9e6dac771472cbe", "ReservedCode1": "", "ContentPropagator": "00119111010856365494821B355", "PropagateID": "01a167fe42197484a9e6dac771472cbe", "ReservedCode2": ""}}</vt:lpwstr>
  </property>
</Properties>
</file>