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3" Type="http://schemas.openxmlformats.org/officeDocument/2006/relationships/custom-properties" Target="docProps/custom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4C64F691">
      <w:pPr>
        <w:pBdr>
          <w:top w:space="135"/>
        </w:pBdr>
        <w:spacing w:before="90" w:after="90" w:line="432"/>
        <w:ind w:left="90" w:right="90" w:firstLine="480"/>
        <w:jc w:val="center"/>
        <w:rPr>
          <w:color w:val="1a1a1a"/>
        </w:rPr>
      </w:pPr>
      <w:r>
        <w:rPr>
          <w:rFonts w:hint="eastAsia" w:ascii="SimHei" w:hAnsi="SimHei" w:eastAsia="SimHei" w:cs="SimHei"/>
          <w:b w:val="1"/>
          <w:color w:val="1a1a1a"/>
          <w:spacing w:val="30"/>
          <w:sz w:val="64"/>
        </w:rPr>
        <w:t>海岳机电行业分析报告</w:t>
      </w:r>
    </w:p>
    <w:p w14:paraId="46FCF1CF">
      <w:pPr>
        <w:pBdr>
          <w:top w:space="135"/>
        </w:pBdr>
        <w:spacing w:before="270" w:after="90" w:line="432"/>
        <w:ind w:left="90" w:right="90" w:firstLine="480"/>
        <w:jc w:val="center"/>
        <w:rPr>
          <w:color w:val="444444"/>
        </w:rPr>
      </w:pPr>
      <w:r>
        <w:rPr>
          <w:rFonts w:hint="eastAsia" w:ascii="SimSun" w:hAnsi="SimSun" w:eastAsia="SimSun" w:cs="SimSun"/>
          <w:color w:val="444444"/>
          <w:sz w:val="28"/>
        </w:rPr>
        <w:t>设备点检与维修协同 · AI 数智化转型</w:t>
      </w:r>
    </w:p>
    <w:p w14:paraId="36AC9D31">
      <w:pPr>
        <w:pBdr>
          <w:top w:space="135"/>
        </w:pBdr>
        <w:spacing w:before="1800" w:line="480"/>
        <w:jc w:val="center"/>
        <w:rPr>
          <w:color w:val="666666"/>
        </w:rPr>
        <w:sectPr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SimSun" w:hAnsi="SimSun" w:eastAsia="SimSun" w:cs="SimSun"/>
          <w:color w:val="666666"/>
          <w:sz w:val="22"/>
        </w:rPr>
        <w:t>项目名称：点检维修协同 AI 试点</w:t>
      </w:r>
      <w:r>
        <w:br w:type="textWrapping"/>
      </w:r>
      <w:r>
        <w:rPr>
          <w:rFonts w:hint="eastAsia" w:ascii="SimSun" w:hAnsi="SimSun" w:eastAsia="SimSun" w:cs="SimSun"/>
          <w:color w:val="666666"/>
          <w:sz w:val="22"/>
        </w:rPr>
        <w:t>编制日期：2026 年 10 月 23 日</w:t>
      </w:r>
      <w:r>
        <w:br w:type="textWrapping"/>
      </w:r>
      <w:r>
        <w:rPr>
          <w:rFonts w:hint="eastAsia" w:ascii="SimSun" w:hAnsi="SimSun" w:eastAsia="SimSun" w:cs="SimSun"/>
          <w:color w:val="666666"/>
          <w:sz w:val="22"/>
        </w:rPr>
        <w:t>文档属性：行业分析（课程演示 · 合成场景）</w:t>
      </w:r>
    </w:p>
    <w:p w14:paraId="2F493DFF">
      <w:pPr>
        <w:spacing w:before="240" w:after="120"/>
      </w:pPr>
      <w:r>
        <w:rPr>
          <w:rFonts w:hint="eastAsia"/>
          <w:b w:val="1"/>
        </w:rPr>
        <w:t>目 录</w:t>
      </w:r>
    </w:p>
    <w:p w14:paraId="12F678A6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TOC \o "1-1" \h \z \u </w:instrText>
      </w:r>
      <w:r>
        <w:fldChar w:fldCharType="separate" w:fldLock="0" w:dirty="0"/>
      </w:r>
      <w:r>
        <w:fldChar w:fldCharType="begin" w:fldLock="0" w:dirty="0"/>
      </w:r>
      <w:r>
        <w:instrText xml:space="preserve"> HYPERLINK \l "section-1" </w:instrText>
      </w:r>
      <w:r>
        <w:fldChar w:fldCharType="separate" w:fldLock="0" w:dirty="0"/>
      </w:r>
      <w:r>
        <w:rPr>
          <w:rFonts w:hint="eastAsia"/>
        </w:rPr>
        <w:t>一、行业背景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9DFA605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"section-2" </w:instrText>
      </w:r>
      <w:r>
        <w:fldChar w:fldCharType="separate" w:fldLock="0" w:dirty="0"/>
      </w:r>
      <w:r>
        <w:rPr>
          <w:rFonts w:hint="eastAsia"/>
        </w:rPr>
        <w:t>二、行业现状与痛点对标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1001B75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"section-3" </w:instrText>
      </w:r>
      <w:r>
        <w:fldChar w:fldCharType="separate" w:fldLock="0" w:dirty="0"/>
      </w:r>
      <w:r>
        <w:rPr>
          <w:rFonts w:hint="eastAsia"/>
        </w:rPr>
        <w:t>三、行业技术路线分析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8726755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"section-4" </w:instrText>
      </w:r>
      <w:r>
        <w:fldChar w:fldCharType="separate" w:fldLock="0" w:dirty="0"/>
      </w:r>
      <w:r>
        <w:rPr>
          <w:rFonts w:hint="eastAsia"/>
        </w:rPr>
        <w:t>四、竞争与产品格局概述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C6C93C4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"section-5" </w:instrText>
      </w:r>
      <w:r>
        <w:fldChar w:fldCharType="separate" w:fldLock="0" w:dirty="0"/>
      </w:r>
      <w:r>
        <w:rPr>
          <w:rFonts w:hint="eastAsia"/>
        </w:rPr>
        <w:t>五、对海岳机电试点的启示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FA74767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"section-6" </w:instrText>
      </w:r>
      <w:r>
        <w:fldChar w:fldCharType="separate" w:fldLock="0" w:dirty="0"/>
      </w:r>
      <w:r>
        <w:rPr>
          <w:rFonts w:hint="eastAsia"/>
        </w:rPr>
        <w:t>六、结论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 \h </w:instrText>
      </w:r>
      <w:r>
        <w:fldChar w:fldCharType="separate" w:fldLock="0" w:dirty="0"/>
      </w:r>
      <w:r>
        <w:t>1</w:t>
      </w:r>
      <w:r>
        <w:fldChar w:fldCharType="end" w:fldLock="0" w:dirty="0"/>
      </w:r>
      <w:r>
        <w:fldChar w:fldCharType="end" w:fldLock="0" w:dirty="0"/>
      </w:r>
    </w:p>
    <w:p w14:paraId="1C5CAE24">
      <w:pPr>
        <w:sectPr>
          <w:type w:val="nextPage"/>
          <w:pgSz w:w="11906" w:h="16838"/>
          <w:pgMar w:top="1440" w:right="1800" w:bottom="1440" w:left="1800" w:header="851" w:footer="992" w:gutter="0"/>
        </w:sectPr>
      </w:pPr>
    </w:p>
    <w:p w14:paraId="71E477EB">
      <w:pPr>
        <w:pStyle w:val="000004"/>
        <w:keepNext w:val="1"/>
        <w:keepLines w:val="1"/>
        <w:shd w:val="clear" w:fill="1d4ed8"/>
        <w:spacing w:before="390" w:beforeAutospacing="1" w:after="390" w:afterAutospacing="1" w:line="432"/>
        <w:ind w:left="390" w:right="390"/>
        <w:outlineLvl w:val="0"/>
        <w:rPr>
          <w:color w:val="ffffff"/>
          <w:kern w:val="44"/>
          <w:sz w:val="44"/>
          <w:szCs w:val="44"/>
        </w:rPr>
      </w:pPr>
      <w:bookmarkStart w:id="1" w:name="section-1"/>
      <w:r>
        <w:rPr>
          <w:rFonts w:hint="eastAsia" w:ascii="SimHei" w:hAnsi="SimHei" w:eastAsia="SimHei" w:cs="SimHei"/>
          <w:b w:val="1"/>
          <w:color w:val="ffffff"/>
          <w:sz w:val="32"/>
        </w:rPr>
        <w:t>一、行业背景</w:t>
      </w:r>
      <w:bookmarkEnd w:id="1"/>
    </w:p>
    <w:p w14:paraId="64DBDEFD">
      <w:pPr>
        <w:spacing w:before="90" w:after="90" w:line="432"/>
        <w:ind w:left="90" w:right="90"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设备点检与维修管理（EAM 相关场景）是离散制造与流程制造企业设备管理体系的核心环节。行业普遍采用"日常点检 → 故障上报 → 停机确认 → 维修派工 → 试运行 → 复产"的标准作业链路，与海岳机电现状一致（证据 f01）。</w:t>
      </w:r>
    </w:p>
    <w:p w14:paraId="0E1681E6">
      <w:pPr>
        <w:spacing w:before="90" w:after="90" w:line="432"/>
        <w:ind w:left="90" w:right="90"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当前行业正处于从"事后维修—定期点检"向"状态维修—预测性维护"转型的阶段，主要驱动因素如下：</w:t>
      </w:r>
    </w:p>
    <w:p w14:paraId="2EDCF65B">
      <w:pPr>
        <w:numPr>
          <w:ilvl w:val="0"/>
          <w:numId w:val="1"/>
        </w:numPr>
        <w:spacing w:before="90" w:after="90" w:line="432"/>
        <w:ind w:left="90" w:right="9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非计划停机成本高企</w:t>
      </w:r>
      <w:r>
        <w:rPr>
          <w:rFonts w:hint="eastAsia" w:ascii="SimSun" w:hAnsi="SimSun" w:eastAsia="SimSun" w:cs="SimSun"/>
          <w:color w:val="1a1a1a"/>
          <w:sz w:val="24"/>
        </w:rPr>
        <w:t>：设备非计划停机直接侵蚀产能。海岳机电现状为每月 96 小时（f00），目标压降至 60 小时；行业头部企业普遍将停机压降 20%—40% 作为数智化首要目标。</w:t>
      </w:r>
    </w:p>
    <w:p w14:paraId="2CD7BBB5">
      <w:pPr>
        <w:numPr>
          <w:ilvl w:val="0"/>
          <w:numId w:val="1"/>
        </w:numPr>
        <w:spacing w:before="90" w:after="90" w:line="432"/>
        <w:ind w:left="90" w:right="9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老师傅经验流失</w:t>
      </w:r>
      <w:r>
        <w:rPr>
          <w:rFonts w:hint="eastAsia" w:ascii="SimSun" w:hAnsi="SimSun" w:eastAsia="SimSun" w:cs="SimSun"/>
          <w:color w:val="1a1a1a"/>
          <w:sz w:val="24"/>
        </w:rPr>
        <w:t>：点检判断依据与维修经验沉淀在个人笔记中（f10/f14），是制造业普遍痛点；行业做法是将隐性经验结构化为故障案例库与知识图谱。</w:t>
      </w:r>
    </w:p>
    <w:p w14:paraId="5EDC4E32">
      <w:pPr>
        <w:numPr>
          <w:ilvl w:val="0"/>
          <w:numId w:val="1"/>
        </w:numPr>
        <w:spacing w:before="90" w:after="90" w:line="432"/>
        <w:ind w:left="90" w:right="9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AI 大模型能力成熟</w:t>
      </w:r>
      <w:r>
        <w:rPr>
          <w:rFonts w:hint="eastAsia" w:ascii="SimSun" w:hAnsi="SimSun" w:eastAsia="SimSun" w:cs="SimSun"/>
          <w:color w:val="1a1a1a"/>
          <w:sz w:val="24"/>
        </w:rPr>
        <w:t>：大模型在工单摘要、故障检索、派工建议、异常识别等"辅助建议类"场景落地条件成熟。行业共识是 AI 只做提示与检索、不替代现场执行与安全动作。</w:t>
      </w:r>
    </w:p>
    <w:p w14:paraId="182FCD27">
      <w:pPr>
        <w:numPr>
          <w:ilvl w:val="0"/>
          <w:numId w:val="1"/>
        </w:numPr>
        <w:spacing w:before="90" w:after="90" w:line="432"/>
        <w:ind w:left="90" w:right="9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系统集成基础</w:t>
      </w:r>
      <w:r>
        <w:rPr>
          <w:rFonts w:hint="eastAsia" w:ascii="SimSun" w:hAnsi="SimSun" w:eastAsia="SimSun" w:cs="SimSun"/>
          <w:color w:val="1a1a1a"/>
          <w:sz w:val="24"/>
        </w:rPr>
        <w:t>：EAM、MES 与传感器网关（IoT）已在多数规上企业普及（海岳机电亦然，f30），为 AI 应用提供了数据入口；但"数据孤岛、口径不一、时钟偏差"仍是行业共性障碍。</w:t>
      </w:r>
    </w:p>
    <w:p w14:paraId="066E08F1">
      <w:pPr>
        <w:pStyle w:val="000004"/>
        <w:keepNext w:val="1"/>
        <w:keepLines w:val="1"/>
        <w:shd w:val="clear" w:fill="1d4ed8"/>
        <w:spacing w:before="390" w:beforeAutospacing="1" w:after="390" w:afterAutospacing="1" w:line="432"/>
        <w:ind w:left="390" w:right="390"/>
        <w:outlineLvl w:val="0"/>
        <w:rPr>
          <w:color w:val="ffffff"/>
          <w:kern w:val="44"/>
          <w:sz w:val="44"/>
          <w:szCs w:val="44"/>
        </w:rPr>
      </w:pPr>
      <w:bookmarkStart w:id="2" w:name="section-2"/>
      <w:r>
        <w:rPr>
          <w:rFonts w:hint="eastAsia" w:ascii="SimHei" w:hAnsi="SimHei" w:eastAsia="SimHei" w:cs="SimHei"/>
          <w:b w:val="1"/>
          <w:color w:val="ffffff"/>
          <w:sz w:val="32"/>
        </w:rPr>
        <w:t>二、行业现状与痛点对标</w:t>
      </w:r>
      <w:bookmarkEnd w:id="2"/>
    </w:p>
    <w:tbl>
      <w:tblPr>
        <w:tblW w:w="8306" w:type="dxa"/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val="clear" w:fill="eff6ff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742D2F4D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1"/>
              </w:rPr>
              <w:t>行业共性痛点</w:t>
            </w:r>
          </w:p>
        </w:tc>
        <w:tc>
          <w:tcPr>
            <w:tcW w:w="2768" w:type="dxa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val="clear" w:fill="eff6ff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265ABFF6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1"/>
              </w:rPr>
              <w:t>海岳机电对应现状</w:t>
            </w:r>
          </w:p>
        </w:tc>
        <w:tc>
          <w:tcPr>
            <w:tcW w:w="2768" w:type="dxa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val="clear" w:fill="eff6ff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14007E79">
            <w:pPr>
              <w:jc w:val="left"/>
              <w:rPr>
                <w:b w:val="1"/>
                <w:bCs w:val="1"/>
                <w:color w:val="1a1a1a"/>
              </w:rPr>
            </w:pPr>
            <w:r>
              <w:rPr>
                <w:rFonts w:hint="eastAsia" w:ascii="SimHei" w:hAnsi="SimHei" w:eastAsia="SimHei" w:cs="SimHei"/>
                <w:b w:val="1"/>
                <w:color w:val="1a1a1a"/>
                <w:sz w:val="21"/>
              </w:rPr>
              <w:t>行业常见解法</w:t>
            </w:r>
          </w:p>
        </w:tc>
      </w:tr>
      <w:tr>
        <w:trPr/>
        <w:tc>
          <w:tcPr>
            <w:tcW w:w="2768" w:type="dxa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1ADCE671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点检描述不统一，记录可用性差</w:t>
            </w:r>
          </w:p>
        </w:tc>
        <w:tc>
          <w:tcPr>
            <w:tcW w:w="2768" w:type="dxa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54F8D0B3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点检内容一致但描述不统一（f10）</w:t>
            </w:r>
          </w:p>
        </w:tc>
        <w:tc>
          <w:tcPr>
            <w:tcW w:w="2768" w:type="dxa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6D9613F1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结构化点检表单 + 判断依据字段随单交接</w:t>
            </w:r>
          </w:p>
        </w:tc>
      </w:tr>
      <w:tr>
        <w:trPr/>
        <w:tc>
          <w:tcPr>
            <w:tcW w:w="2768" w:type="dxa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726D62C9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经验留存于个人笔记，检索靠人</w:t>
            </w:r>
          </w:p>
        </w:tc>
        <w:tc>
          <w:tcPr>
            <w:tcW w:w="2768" w:type="dxa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0B5A8196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查历史案例平均 30 分钟/次（f12）</w:t>
            </w:r>
          </w:p>
        </w:tc>
        <w:tc>
          <w:tcPr>
            <w:tcW w:w="2768" w:type="dxa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456C5709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故障案例库 + AI 相似案例推荐</w:t>
            </w:r>
          </w:p>
        </w:tc>
      </w:tr>
      <w:tr>
        <w:trPr/>
        <w:tc>
          <w:tcPr>
            <w:tcW w:w="2768" w:type="dxa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52676FA7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误报多，一线信任度低</w:t>
            </w:r>
          </w:p>
        </w:tc>
        <w:tc>
          <w:tcPr>
            <w:tcW w:w="2768" w:type="dxa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7280BE4F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传感器漂移触发误报到场（f11）</w:t>
            </w:r>
          </w:p>
        </w:tc>
        <w:tc>
          <w:tcPr>
            <w:tcW w:w="2768" w:type="dxa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70ED1177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误报分级复核路径、原记录不覆盖</w:t>
            </w:r>
          </w:p>
        </w:tc>
      </w:tr>
      <w:tr>
        <w:trPr/>
        <w:tc>
          <w:tcPr>
            <w:tcW w:w="2768" w:type="dxa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7813EB3C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系统孤岛、数据质量差</w:t>
            </w:r>
          </w:p>
        </w:tc>
        <w:tc>
          <w:tcPr>
            <w:tcW w:w="2768" w:type="dxa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6BFF99EB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EAM/MES/网关无统一视图；时钟偏差 3 分钟、备件编码缺替代关系（f30/f31）</w:t>
            </w:r>
          </w:p>
        </w:tc>
        <w:tc>
          <w:tcPr>
            <w:tcW w:w="2768" w:type="dxa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3D32647F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数据质量前置校验 + 人工修复队列（f33）</w:t>
            </w:r>
          </w:p>
        </w:tc>
      </w:tr>
      <w:tr>
        <w:trPr/>
        <w:tc>
          <w:tcPr>
            <w:tcW w:w="2768" w:type="dxa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45DBCE25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部门间完成口径不一致</w:t>
            </w:r>
          </w:p>
        </w:tc>
        <w:tc>
          <w:tcPr>
            <w:tcW w:w="2768" w:type="dxa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307661F3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设备部按"修好"、生产按"恢复稳定产出"计时（f50）</w:t>
            </w:r>
          </w:p>
        </w:tc>
        <w:tc>
          <w:tcPr>
            <w:tcW w:w="2768" w:type="dxa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0B36B47C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双口径分开记录、固定分母与排除规则（f53）</w:t>
            </w:r>
          </w:p>
        </w:tc>
      </w:tr>
      <w:tr>
        <w:trPr/>
        <w:tc>
          <w:tcPr>
            <w:tcW w:w="2768" w:type="dxa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2C35CB59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安全红线被效率诉求挤压</w:t>
            </w:r>
          </w:p>
        </w:tc>
        <w:tc>
          <w:tcPr>
            <w:tcW w:w="2768" w:type="dxa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5C2465F2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LOTO 挂牌与复产确认必须授权人员执行（f40）</w:t>
            </w:r>
          </w:p>
        </w:tc>
        <w:tc>
          <w:tcPr>
            <w:tcW w:w="2768" w:type="dxa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25B757ED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AI 边界清单 + 人工兜底 + 审计留痕（f44/f45）</w:t>
            </w:r>
          </w:p>
        </w:tc>
      </w:tr>
    </w:tbl>
    <w:p w14:paraId="4EC8D4B8">
      <w:pPr>
        <w:pStyle w:val="000004"/>
        <w:keepNext w:val="1"/>
        <w:keepLines w:val="1"/>
        <w:shd w:val="clear" w:fill="1d4ed8"/>
        <w:spacing w:before="390" w:beforeAutospacing="1" w:after="390" w:afterAutospacing="1" w:line="432"/>
        <w:ind w:left="390" w:right="390"/>
        <w:outlineLvl w:val="0"/>
        <w:rPr>
          <w:color w:val="ffffff"/>
          <w:kern w:val="44"/>
          <w:sz w:val="44"/>
          <w:szCs w:val="44"/>
        </w:rPr>
      </w:pPr>
      <w:bookmarkStart w:id="3" w:name="section-3"/>
      <w:r>
        <w:rPr>
          <w:rFonts w:hint="eastAsia" w:ascii="SimHei" w:hAnsi="SimHei" w:eastAsia="SimHei" w:cs="SimHei"/>
          <w:b w:val="1"/>
          <w:color w:val="ffffff"/>
          <w:sz w:val="32"/>
        </w:rPr>
        <w:t>三、行业技术路线分析</w:t>
      </w:r>
      <w:bookmarkEnd w:id="3"/>
    </w:p>
    <w:p w14:paraId="1A2DCD49">
      <w:pPr>
        <w:pStyle w:val="000008"/>
        <w:keepNext w:val="1"/>
        <w:keepLines w:val="1"/>
        <w:spacing w:before="270" w:beforeAutospacing="1" w:after="270" w:afterAutospacing="1" w:line="432"/>
        <w:ind w:left="270" w:right="270"/>
        <w:outlineLvl w:val="1"/>
        <w:rPr>
          <w:color w:val="1d4ed8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d4ed8"/>
          <w:sz w:val="27"/>
        </w:rPr>
        <w:t>3.1 主流技术路线</w:t>
      </w:r>
    </w:p>
    <w:p w14:paraId="5ACAAB80">
      <w:pPr>
        <w:numPr>
          <w:ilvl w:val="0"/>
          <w:numId w:val="2"/>
        </w:numPr>
        <w:spacing w:before="90" w:after="90" w:line="432"/>
        <w:ind w:left="90" w:right="9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规则引擎 + 阈值报警</w:t>
      </w:r>
      <w:r>
        <w:rPr>
          <w:rFonts w:hint="eastAsia" w:ascii="SimSun" w:hAnsi="SimSun" w:eastAsia="SimSun" w:cs="SimSun"/>
          <w:color w:val="1a1a1a"/>
          <w:sz w:val="24"/>
        </w:rPr>
        <w:t>：成熟、误报可控，但泛化能力弱，适合作为兜底层。</w:t>
      </w:r>
    </w:p>
    <w:p w14:paraId="5DB9ECB6">
      <w:pPr>
        <w:numPr>
          <w:ilvl w:val="0"/>
          <w:numId w:val="2"/>
        </w:numPr>
        <w:spacing w:before="90" w:after="90" w:line="432"/>
        <w:ind w:left="90" w:right="9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传统机器学习（振动/温度趋势模型）</w:t>
      </w:r>
      <w:r>
        <w:rPr>
          <w:rFonts w:hint="eastAsia" w:ascii="SimSun" w:hAnsi="SimSun" w:eastAsia="SimSun" w:cs="SimSun"/>
          <w:color w:val="1a1a1a"/>
          <w:sz w:val="24"/>
        </w:rPr>
        <w:t>：在轴承磨损、温度异常等场景有成熟案例，需要按设备建模与标注数据。</w:t>
      </w:r>
    </w:p>
    <w:p w14:paraId="55008342">
      <w:pPr>
        <w:numPr>
          <w:ilvl w:val="0"/>
          <w:numId w:val="2"/>
        </w:numPr>
        <w:spacing w:before="90" w:after="90" w:line="432"/>
        <w:ind w:left="90" w:right="9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大模型辅助（检索增强 RAG）</w:t>
      </w:r>
      <w:r>
        <w:rPr>
          <w:rFonts w:hint="eastAsia" w:ascii="SimSun" w:hAnsi="SimSun" w:eastAsia="SimSun" w:cs="SimSun"/>
          <w:color w:val="1a1a1a"/>
          <w:sz w:val="24"/>
        </w:rPr>
        <w:t>：适合故障案例检索、点检记录结构化、派工建议生成；必须显示原记录引用与待确认字段以保证可追溯（与 f15 的要求一致）。</w:t>
      </w:r>
    </w:p>
    <w:p w14:paraId="0549A93D">
      <w:pPr>
        <w:numPr>
          <w:ilvl w:val="0"/>
          <w:numId w:val="2"/>
        </w:numPr>
        <w:spacing w:before="90" w:after="90" w:line="432"/>
        <w:ind w:left="90" w:right="9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Agent 化协同平台</w:t>
      </w:r>
      <w:r>
        <w:rPr>
          <w:rFonts w:hint="eastAsia" w:ascii="SimSun" w:hAnsi="SimSun" w:eastAsia="SimSun" w:cs="SimSun"/>
          <w:color w:val="1a1a1a"/>
          <w:sz w:val="24"/>
        </w:rPr>
        <w:t>：将上述能力封装为按角色权限分发的协同工作台，是行业当前的主流产品形态。</w:t>
      </w:r>
    </w:p>
    <w:p w14:paraId="7FF65F7B">
      <w:pPr>
        <w:pStyle w:val="000008"/>
        <w:keepNext w:val="1"/>
        <w:keepLines w:val="1"/>
        <w:spacing w:before="270" w:beforeAutospacing="1" w:after="270" w:afterAutospacing="1" w:line="432"/>
        <w:ind w:left="270" w:right="270"/>
        <w:outlineLvl w:val="1"/>
        <w:rPr>
          <w:color w:val="1d4ed8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d4ed8"/>
          <w:sz w:val="27"/>
        </w:rPr>
        <w:t>3.2 行业落地原则（与本项目高度一致）</w:t>
      </w:r>
    </w:p>
    <w:p w14:paraId="40BBB47A">
      <w:pPr>
        <w:numPr>
          <w:ilvl w:val="0"/>
          <w:numId w:val="3"/>
        </w:numPr>
        <w:spacing w:before="90" w:after="90" w:line="432"/>
        <w:ind w:left="90" w:right="9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先回放、后并行、不替换</w:t>
      </w:r>
      <w:r>
        <w:rPr>
          <w:rFonts w:hint="eastAsia" w:ascii="SimSun" w:hAnsi="SimSun" w:eastAsia="SimSun" w:cs="SimSun"/>
          <w:color w:val="1a1a1a"/>
          <w:sz w:val="24"/>
        </w:rPr>
        <w:t>：首期用历史资料回放验证，再小范围并行试点，不直接替换现有业务（f05）。</w:t>
      </w:r>
    </w:p>
    <w:p w14:paraId="54EC1945">
      <w:pPr>
        <w:numPr>
          <w:ilvl w:val="0"/>
          <w:numId w:val="3"/>
        </w:numPr>
        <w:spacing w:before="90" w:after="90" w:line="432"/>
        <w:ind w:left="90" w:right="9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只读接入</w:t>
      </w:r>
      <w:r>
        <w:rPr>
          <w:rFonts w:hint="eastAsia" w:ascii="SimSun" w:hAnsi="SimSun" w:eastAsia="SimSun" w:cs="SimSun"/>
          <w:color w:val="1a1a1a"/>
          <w:sz w:val="24"/>
        </w:rPr>
        <w:t>：试点期接口仅读取状态与工单，禁止远程控制设备与解除联锁（f32），写操作单独立项。</w:t>
      </w:r>
    </w:p>
    <w:p w14:paraId="68A406B3">
      <w:pPr>
        <w:numPr>
          <w:ilvl w:val="0"/>
          <w:numId w:val="3"/>
        </w:numPr>
        <w:spacing w:before="90" w:after="90" w:line="432"/>
        <w:ind w:left="90" w:right="9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人工兜底显式化</w:t>
      </w:r>
      <w:r>
        <w:rPr>
          <w:rFonts w:hint="eastAsia" w:ascii="SimSun" w:hAnsi="SimSun" w:eastAsia="SimSun" w:cs="SimSun"/>
          <w:color w:val="1a1a1a"/>
          <w:sz w:val="24"/>
        </w:rPr>
        <w:t>：误报、缺依据、版本冲突、系统不可用四类情形必须转人工，并标注原因、接手人与确认时间（f44）。</w:t>
      </w:r>
    </w:p>
    <w:p w14:paraId="3801F369">
      <w:pPr>
        <w:numPr>
          <w:ilvl w:val="0"/>
          <w:numId w:val="3"/>
        </w:numPr>
        <w:spacing w:before="90" w:after="90" w:line="432"/>
        <w:ind w:left="90" w:right="9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收益口径保守核算</w:t>
      </w:r>
      <w:r>
        <w:rPr>
          <w:rFonts w:hint="eastAsia" w:ascii="SimSun" w:hAnsi="SimSun" w:eastAsia="SimSun" w:cs="SimSun"/>
          <w:color w:val="1a1a1a"/>
          <w:sz w:val="24"/>
        </w:rPr>
        <w:t>：收益须扣除维护与人工复核成本，不能把节省工时直接当现金回款（f03）。</w:t>
      </w:r>
    </w:p>
    <w:p w14:paraId="239323AF">
      <w:pPr>
        <w:pStyle w:val="000004"/>
        <w:keepNext w:val="1"/>
        <w:keepLines w:val="1"/>
        <w:shd w:val="clear" w:fill="1d4ed8"/>
        <w:spacing w:before="390" w:beforeAutospacing="1" w:after="390" w:afterAutospacing="1" w:line="432"/>
        <w:ind w:left="390" w:right="390"/>
        <w:outlineLvl w:val="0"/>
        <w:rPr>
          <w:color w:val="ffffff"/>
          <w:kern w:val="44"/>
          <w:sz w:val="44"/>
          <w:szCs w:val="44"/>
        </w:rPr>
      </w:pPr>
      <w:bookmarkStart w:id="4" w:name="section-4"/>
      <w:r>
        <w:rPr>
          <w:rFonts w:hint="eastAsia" w:ascii="SimHei" w:hAnsi="SimHei" w:eastAsia="SimHei" w:cs="SimHei"/>
          <w:b w:val="1"/>
          <w:color w:val="ffffff"/>
          <w:sz w:val="32"/>
        </w:rPr>
        <w:t>四、竞争与产品格局概述</w:t>
      </w:r>
      <w:bookmarkEnd w:id="4"/>
    </w:p>
    <w:p w14:paraId="4B598DE9">
      <w:pPr>
        <w:spacing w:before="90" w:after="90" w:line="432"/>
        <w:ind w:left="90" w:right="90"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国内设备智能运维市场参与者可分为三类（定性概述，不作排名）：</w:t>
      </w:r>
    </w:p>
    <w:p w14:paraId="77FC08B8">
      <w:pPr>
        <w:numPr>
          <w:ilvl w:val="0"/>
          <w:numId w:val="4"/>
        </w:numPr>
        <w:spacing w:before="90" w:after="90" w:line="432"/>
        <w:ind w:left="90" w:right="9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EAM/ERP 厂商延伸</w:t>
      </w:r>
      <w:r>
        <w:rPr>
          <w:rFonts w:hint="eastAsia" w:ascii="SimSun" w:hAnsi="SimSun" w:eastAsia="SimSun" w:cs="SimSun"/>
          <w:color w:val="1a1a1a"/>
          <w:sz w:val="24"/>
        </w:rPr>
        <w:t>：在既有资产管理系统上叠加 AI 模块，优势是主数据贯通，劣势是现场实时性弱。</w:t>
      </w:r>
    </w:p>
    <w:p w14:paraId="7CCE434E">
      <w:pPr>
        <w:numPr>
          <w:ilvl w:val="0"/>
          <w:numId w:val="4"/>
        </w:numPr>
        <w:spacing w:before="90" w:after="90" w:line="432"/>
        <w:ind w:left="90" w:right="9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工业 IoT/预测性维护专业厂商</w:t>
      </w:r>
      <w:r>
        <w:rPr>
          <w:rFonts w:hint="eastAsia" w:ascii="SimSun" w:hAnsi="SimSun" w:eastAsia="SimSun" w:cs="SimSun"/>
          <w:color w:val="1a1a1a"/>
          <w:sz w:val="24"/>
        </w:rPr>
        <w:t>：以传感器与振动分析见长，优势是算法深度，劣势是管理流程协同能力弱。</w:t>
      </w:r>
    </w:p>
    <w:p w14:paraId="4CB57FEC">
      <w:pPr>
        <w:numPr>
          <w:ilvl w:val="0"/>
          <w:numId w:val="4"/>
        </w:numPr>
        <w:spacing w:before="90" w:after="90" w:line="432"/>
        <w:ind w:left="90" w:right="9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大模型协同平台新势力</w:t>
      </w:r>
      <w:r>
        <w:rPr>
          <w:rFonts w:hint="eastAsia" w:ascii="SimSun" w:hAnsi="SimSun" w:eastAsia="SimSun" w:cs="SimSun"/>
          <w:color w:val="1a1a1a"/>
          <w:sz w:val="24"/>
        </w:rPr>
        <w:t>：以知识检索与工单协同为核心，落地快、门槛低，适合海岳机电这类以"点检协同与派工建议"为切入点的需求。</w:t>
      </w:r>
    </w:p>
    <w:p w14:paraId="156C395D">
      <w:pPr>
        <w:spacing w:before="90" w:after="90" w:line="432"/>
        <w:ind w:left="90" w:right="90"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对海岳机电而言，需求主线（点检判断依据随单交接 + 误报复核兜底）属于第 2、3 类能力的组合，且首期预算 15 万元封顶（f03），宜采用"轻量平台 + 现有终端 + 只读集成"路线，避免大规模硬件改造。</w:t>
      </w:r>
    </w:p>
    <w:p w14:paraId="1C674ECB">
      <w:pPr>
        <w:pStyle w:val="000004"/>
        <w:keepNext w:val="1"/>
        <w:keepLines w:val="1"/>
        <w:shd w:val="clear" w:fill="1d4ed8"/>
        <w:spacing w:before="390" w:beforeAutospacing="1" w:after="390" w:afterAutospacing="1" w:line="432"/>
        <w:ind w:left="390" w:right="390"/>
        <w:outlineLvl w:val="0"/>
        <w:rPr>
          <w:color w:val="ffffff"/>
          <w:kern w:val="44"/>
          <w:sz w:val="44"/>
          <w:szCs w:val="44"/>
        </w:rPr>
      </w:pPr>
      <w:bookmarkStart w:id="5" w:name="section-5"/>
      <w:r>
        <w:rPr>
          <w:rFonts w:hint="eastAsia" w:ascii="SimHei" w:hAnsi="SimHei" w:eastAsia="SimHei" w:cs="SimHei"/>
          <w:b w:val="1"/>
          <w:color w:val="ffffff"/>
          <w:sz w:val="32"/>
        </w:rPr>
        <w:t>五、对海岳机电试点的启示</w:t>
      </w:r>
      <w:bookmarkEnd w:id="5"/>
    </w:p>
    <w:p w14:paraId="2B81F12E">
      <w:pPr>
        <w:numPr>
          <w:ilvl w:val="0"/>
          <w:numId w:val="5"/>
        </w:numPr>
        <w:spacing w:before="90" w:after="90" w:line="432"/>
        <w:ind w:left="90" w:right="9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切入点选择正确</w:t>
      </w:r>
      <w:r>
        <w:rPr>
          <w:rFonts w:hint="eastAsia" w:ascii="SimSun" w:hAnsi="SimSun" w:eastAsia="SimSun" w:cs="SimSun"/>
          <w:color w:val="1a1a1a"/>
          <w:sz w:val="24"/>
        </w:rPr>
        <w:t>：优先做"点检辅助 + 派工建议"（f05），属于高价值、可拦截、可恢复的低风险场景，符合行业落地规律。</w:t>
      </w:r>
    </w:p>
    <w:p w14:paraId="5E7507A7">
      <w:pPr>
        <w:numPr>
          <w:ilvl w:val="0"/>
          <w:numId w:val="5"/>
        </w:numPr>
        <w:spacing w:before="90" w:after="90" w:line="432"/>
        <w:ind w:left="90" w:right="9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验收指标行业合理</w:t>
      </w:r>
      <w:r>
        <w:rPr>
          <w:rFonts w:hint="eastAsia" w:ascii="SimSun" w:hAnsi="SimSun" w:eastAsia="SimSun" w:cs="SimSun"/>
          <w:color w:val="1a1a1a"/>
          <w:sz w:val="24"/>
        </w:rPr>
        <w:t>：10 台设备、8 周、误报率 &lt; 8%、记录完整率 ≥ 95%（f02），与行业试点门槛量级一致；建议补齐误报判定人与完整率字段口径后再签验收。</w:t>
      </w:r>
    </w:p>
    <w:p w14:paraId="5E834315">
      <w:pPr>
        <w:numPr>
          <w:ilvl w:val="0"/>
          <w:numId w:val="5"/>
        </w:numPr>
        <w:spacing w:before="90" w:after="90" w:line="432"/>
        <w:ind w:left="90" w:right="9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风险控制是行业标配</w:t>
      </w:r>
      <w:r>
        <w:rPr>
          <w:rFonts w:hint="eastAsia" w:ascii="SimSun" w:hAnsi="SimSun" w:eastAsia="SimSun" w:cs="SimSun"/>
          <w:color w:val="1a1a1a"/>
          <w:sz w:val="24"/>
        </w:rPr>
        <w:t>：安全负责人一票否决（f04）、停止条件暂停试点（f42）、审计链路可重建（f45）均为行业成熟做法，应写入合同与验收条款。</w:t>
      </w:r>
    </w:p>
    <w:p w14:paraId="117C5082">
      <w:pPr>
        <w:numPr>
          <w:ilvl w:val="0"/>
          <w:numId w:val="5"/>
        </w:numPr>
        <w:spacing w:before="90" w:after="90" w:line="432"/>
        <w:ind w:left="90" w:right="90"/>
        <w:rPr>
          <w:color w:val="1a1a1a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扩展路径清晰</w:t>
      </w:r>
      <w:r>
        <w:rPr>
          <w:rFonts w:hint="eastAsia" w:ascii="SimSun" w:hAnsi="SimSun" w:eastAsia="SimSun" w:cs="SimSun"/>
          <w:color w:val="1a1a1a"/>
          <w:sz w:val="24"/>
        </w:rPr>
        <w:t>：试点达标后，可沿"10 台 → 单作业区 48 台 → 全厂"扩展，并逐步从"只读建议"走向"写操作受控回写"，每一步单独立项验证。</w:t>
      </w:r>
    </w:p>
    <w:p w14:paraId="2893860F">
      <w:pPr>
        <w:pStyle w:val="000004"/>
        <w:keepNext w:val="1"/>
        <w:keepLines w:val="1"/>
        <w:shd w:val="clear" w:fill="1d4ed8"/>
        <w:spacing w:before="390" w:beforeAutospacing="1" w:after="390" w:afterAutospacing="1" w:line="432"/>
        <w:ind w:left="390" w:right="390"/>
        <w:outlineLvl w:val="0"/>
        <w:rPr>
          <w:color w:val="ffffff"/>
          <w:kern w:val="44"/>
          <w:sz w:val="44"/>
          <w:szCs w:val="44"/>
        </w:rPr>
      </w:pPr>
      <w:bookmarkStart w:id="6" w:name="section-6"/>
      <w:r>
        <w:rPr>
          <w:rFonts w:hint="eastAsia" w:ascii="SimHei" w:hAnsi="SimHei" w:eastAsia="SimHei" w:cs="SimHei"/>
          <w:b w:val="1"/>
          <w:color w:val="ffffff"/>
          <w:sz w:val="32"/>
        </w:rPr>
        <w:t>六、结论</w:t>
      </w:r>
      <w:bookmarkEnd w:id="6"/>
    </w:p>
    <w:p w14:paraId="3BD9D5B7">
      <w:pPr>
        <w:spacing w:before="90" w:after="90" w:line="432"/>
        <w:ind w:left="90" w:right="90" w:firstLine="480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设备点检维修协同的 AI 数智化已进入可规模化落地阶段，行业主流路线与大模型辅助协同平台方向一致。海岳机电的试点设计（结构化交接、误报复核、只读边界、双口径验收）符合行业最佳实践，风险可控。主要不确定性在于数据质量（时钟偏差、编码缺失）与口径锁定，应在试点前完成字段盘点与责任人确认，再进入 8 周实测。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8fafc"/>
            <w:vAlign w:val="center"/>
          </w:tcPr>
          <w:p w14:paraId="22168ABF">
            <w:pPr>
              <w:rPr>
                <w:color w:val="64748b"/>
              </w:rPr>
            </w:pPr>
            <w:r>
              <w:rPr>
                <w:rFonts w:hint="eastAsia" w:ascii="SimSun" w:hAnsi="SimSun" w:eastAsia="SimSun" w:cs="SimSun"/>
                <w:color w:val="64748b"/>
                <w:sz w:val="19"/>
              </w:rPr>
              <w:t>本报告基于合成场景《业务需求发现报告》撰写；行业数据为公开通识性概述，未经标注来源处为定性判断。</w:t>
            </w:r>
          </w:p>
        </w:tc>
      </w:tr>
    </w:tbl>
    <w:p w14:paraId="1BF60841">
      <w:pPr>
        <w:sectPr>
          <w:footerReference r:id="rId5" w:type="default"/>
          <w:type w:val="nextPage"/>
          <w:pgSz w:w="11906" w:h="16838"/>
          <w:pgMar w:top="1440" w:right="1800" w:bottom="1440" w:left="1800" w:header="851" w:footer="992" w:gutter="0"/>
          <w:pgNumType w:start="1"/>
        </w:sectPr>
      </w:pPr>
    </w:p>
    <w:p w14:paraId="3D0F3542"/>
    <w:sectPr>
      <w:footerReference r:id="rId5" w:type="default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7F14EE23">
    <w:pPr>
      <w:jc w:val="center"/>
    </w:pPr>
    <w:r>
      <w:rPr>
        <w:rFonts w:hint="eastAsia"/>
        <w:color w:val="888888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  <w:r>
      <w:rPr>
        <w:rFonts w:hint="eastAsia"/>
        <w:color w:val="888888"/>
        <w:sz w:val="18"/>
      </w:rPr>
      <w:t xml:space="preserve"> 页</w:t>
    </w:r>
  </w:p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3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lvl w:ilvl="0">
      <w:start w:val="1"/>
      <w:numFmt w:val="decimal"/>
      <w:lvlText w:val="%1."/>
      <w:lvlJc w:val="left"/>
      <w:pPr>
        <w:ind w:left="420" w:hanging="420"/>
      </w:pPr>
    </w:lvl>
  </w:abstractNum>
  <w:num w:numId="4">
    <w:abstractNumId w:val="0"/>
  </w:num>
  <w:num w:numId="5">
    <w:abstractNumId w:val="2"/>
  </w:num>
  <w:num w:numId="3">
    <w:abstractNumId w:val="3"/>
  </w:num>
  <w:num w:numId="2">
    <w:abstractNumId w:val="4"/>
  </w: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List Number 4" w:semiHidden="1" w:unhideWhenUsed="1"/>
    <w:lsdException w:name="Body Text" w:semiHidden="1" w:unhideWhenUsed="1"/>
    <w:lsdException w:name="List Continue 2" w:semiHidden="1" w:unhideWhenUsed="1"/>
    <w:lsdException w:name="List 5" w:semiHidden="1" w:unhideWhenUsed="1"/>
    <w:lsdException w:name="List 2" w:semiHidden="1" w:unhideWhenUsed="1"/>
    <w:lsdException w:name="footer" w:semiHidden="1" w:unhideWhenUsed="1"/>
    <w:lsdException w:name="heading 3" w:uiPriority="9" w:semiHidden="1" w:unhideWhenUsed="1" w:qFormat="1"/>
    <w:lsdException w:name="Body Text 2" w:semiHidden="1" w:unhideWhenUsed="1"/>
    <w:lsdException w:name="Message Header" w:semiHidden="1" w:unhideWhenUsed="1"/>
    <w:lsdException w:name="Block Text" w:semiHidden="1" w:unhideWhenUsed="1"/>
    <w:lsdException w:name="header" w:semiHidden="1" w:unhideWhenUsed="1"/>
    <w:lsdException w:name="toc 7" w:uiPriority="39" w:semiHidden="1" w:unhideWhenUsed="1"/>
    <w:lsdException w:name="List Continue 3" w:semiHidden="1" w:unhideWhenUsed="1"/>
    <w:lsdException w:name="heading 1" w:uiPriority="9" w:qFormat="1"/>
    <w:lsdException w:name="Note Heading" w:semiHidden="1" w:unhideWhenUsed="1"/>
    <w:lsdException w:name="annotation text" w:semiHidden="1" w:unhideWhenUsed="1"/>
    <w:lsdException w:name="heading 8" w:uiPriority="9" w:semiHidden="1" w:unhideWhenUsed="1" w:qFormat="1"/>
    <w:lsdException w:name="Closing" w:semiHidden="1" w:unhideWhenUsed="1"/>
    <w:lsdException w:name="heading 7" w:uiPriority="9" w:semiHidden="1" w:unhideWhenUsed="1" w:qFormat="1"/>
    <w:lsdException w:name="Normal" w:uiPriority="0" w:qFormat="1"/>
    <w:lsdException w:name="Body Text 3" w:semiHidden="1" w:unhideWhenUsed="1"/>
    <w:lsdException w:name="List Bullet 3" w:semiHidden="1" w:unhideWhenUsed="1"/>
    <w:lsdException w:name="endnote reference" w:semiHidden="1" w:unhideWhenUsed="1"/>
    <w:lsdException w:name="Body Text Indent 2" w:semiHidden="1" w:unhideWhenUsed="1"/>
    <w:lsdException w:name="annotation reference" w:semiHidden="1" w:unhideWhenUsed="1"/>
    <w:lsdException w:name="Body Text First Indent" w:semiHidden="1" w:unhideWhenUsed="1"/>
    <w:lsdException w:name="List Bullet 4" w:semiHidden="1" w:unhideWhenUsed="1"/>
    <w:lsdException w:name="macro" w:semiHidden="1" w:unhideWhenUsed="1"/>
    <w:lsdException w:name="envelope address" w:semiHidden="1" w:unhideWhenUsed="1"/>
    <w:lsdException w:name="heading 6" w:uiPriority="9" w:semiHidden="1" w:unhideWhenUsed="1" w:qFormat="1"/>
    <w:lsdException w:name="Body Text First Indent 2" w:semiHidden="1" w:unhideWhenUsed="1"/>
    <w:lsdException w:name="index 7" w:semiHidden="1" w:unhideWhenUsed="1"/>
    <w:lsdException w:name="index 4" w:semiHidden="1" w:unhideWhenUsed="1"/>
    <w:lsdException w:name="List Number" w:semiHidden="1" w:unhideWhenUsed="1"/>
    <w:lsdException w:name="Hyperlink" w:semiHidden="1" w:unhideWhenUsed="1"/>
    <w:lsdException w:name="heading 2" w:uiPriority="9" w:semiHidden="1" w:unhideWhenUsed="1" w:qFormat="1"/>
    <w:lsdException w:name="List Number 5" w:semiHidden="1" w:unhideWhenUsed="1"/>
    <w:lsdException w:name="caption" w:uiPriority="35" w:semiHidden="1" w:unhideWhenUsed="1" w:qFormat="1"/>
    <w:lsdException w:name="footnote text" w:semiHidden="1" w:unhideWhenUsed="1"/>
    <w:lsdException w:name="List Bullet 2" w:semiHidden="1" w:unhideWhenUsed="1"/>
    <w:lsdException w:name="toc 5" w:uiPriority="39" w:semiHidden="1" w:unhideWhenUsed="1"/>
    <w:lsdException w:name="toc 9" w:uiPriority="39" w:semiHidden="1" w:unhideWhenUsed="1"/>
    <w:lsdException w:name="Salutation" w:semiHidden="1" w:unhideWhenUsed="1"/>
    <w:lsdException w:name="toc 2" w:uiPriority="39" w:semiHidden="1" w:unhideWhenUsed="1"/>
    <w:lsdException w:name="toc 1" w:uiPriority="39" w:semiHidden="1" w:unhideWhenUsed="1"/>
    <w:lsdException w:name="line number" w:semiHidden="1" w:unhideWhenUsed="1"/>
    <w:lsdException w:name="toc 6" w:uiPriority="39" w:semiHidden="1" w:unhideWhenUsed="1"/>
    <w:lsdException w:name="index 9" w:semiHidden="1" w:unhideWhenUsed="1"/>
    <w:lsdException w:name="index 2" w:semiHidden="1" w:unhideWhenUsed="1"/>
    <w:lsdException w:name="heading 5" w:uiPriority="9" w:semiHidden="1" w:unhideWhenUsed="1" w:qFormat="1"/>
    <w:lsdException w:name="Body Text Indent 3" w:semiHidden="1" w:unhideWhenUsed="1"/>
    <w:lsdException w:name="heading 9" w:uiPriority="9" w:semiHidden="1" w:unhideWhenUsed="1" w:qFormat="1"/>
    <w:lsdException w:name="List 4" w:semiHidden="1" w:unhideWhenUsed="1"/>
    <w:lsdException w:name="heading 4" w:uiPriority="9" w:semiHidden="1" w:unhideWhenUsed="1" w:qFormat="1"/>
    <w:lsdException w:name="Normal Indent" w:semiHidden="1" w:unhideWhenUsed="1"/>
    <w:lsdException w:name="Signature" w:semiHidden="1" w:unhideWhenUsed="1"/>
    <w:lsdException w:name="page number" w:semiHidden="1" w:unhideWhenUsed="1"/>
    <w:lsdException w:name="List Continue 4" w:semiHidden="1" w:unhideWhenUsed="1"/>
    <w:lsdException w:name="Strong" w:uiPriority="22" w:qFormat="1"/>
    <w:lsdException w:name="List Number 2" w:semiHidden="1" w:unhideWhenUsed="1"/>
    <w:lsdException w:name="Default Paragraph Font" w:uiPriority="1" w:semiHidden="1" w:unhideWhenUsed="1"/>
    <w:lsdException w:name="table of authorities" w:semiHidden="1" w:unhideWhenUsed="1"/>
    <w:lsdException w:name="Title" w:uiPriority="10" w:qFormat="1"/>
    <w:lsdException w:name="toc 4" w:uiPriority="39" w:semiHidden="1" w:unhideWhenUsed="1"/>
    <w:lsdException w:name="toa heading" w:semiHidden="1" w:unhideWhenUsed="1"/>
    <w:lsdException w:name="index heading" w:semiHidden="1" w:unhideWhenUsed="1"/>
    <w:lsdException w:name="endnote text" w:semiHidden="1" w:unhideWhenUsed="1"/>
    <w:lsdException w:name="index 5" w:semiHidden="1" w:unhideWhenUsed="1"/>
    <w:lsdException w:name="index 3" w:semiHidden="1" w:unhideWhenUsed="1"/>
    <w:lsdException w:name="List Number 3" w:semiHidden="1" w:unhideWhenUsed="1"/>
    <w:lsdException w:name="index 6" w:semiHidden="1" w:unhideWhenUsed="1"/>
    <w:lsdException w:name="envelope return" w:semiHidden="1" w:unhideWhenUsed="1"/>
    <w:lsdException w:name="List Continue 5" w:semiHidden="1" w:unhideWhenUsed="1"/>
    <w:lsdException w:name="List Bullet" w:semiHidden="1" w:unhideWhenUsed="1"/>
    <w:lsdException w:name="List" w:semiHidden="1" w:unhideWhenUsed="1"/>
    <w:lsdException w:name="table of figures" w:semiHidden="1" w:unhideWhenUsed="1"/>
    <w:lsdException w:name="FollowedHyperlink" w:semiHidden="1" w:unhideWhenUsed="1"/>
    <w:lsdException w:name="List 3" w:semiHidden="1" w:unhideWhenUsed="1"/>
    <w:lsdException w:name="Body Text Indent" w:semiHidden="1" w:unhideWhenUsed="1"/>
    <w:lsdException w:name="Date" w:semiHidden="1" w:unhideWhenUsed="1"/>
    <w:lsdException w:name="toc 3" w:uiPriority="39" w:semiHidden="1" w:unhideWhenUsed="1"/>
    <w:lsdException w:name="toc 8" w:uiPriority="39" w:semiHidden="1" w:unhideWhenUsed="1"/>
    <w:lsdException w:name="Subtitle" w:uiPriority="11" w:qFormat="1"/>
    <w:lsdException w:name="List Continue" w:semiHidden="1" w:unhideWhenUsed="1"/>
    <w:lsdException w:name="index 1" w:semiHidden="1" w:unhideWhenUsed="1"/>
    <w:lsdException w:name="index 8" w:semiHidden="1" w:unhideWhenUsed="1"/>
    <w:lsdException w:name="List Bullet 5" w:semiHidden="1" w:unhideWhenUsed="1"/>
    <w:lsdException w:name="footnote reference" w:semiHidden="1" w:unhideWhenUsed="1"/>
  </w:latentStyles>
  <w:style w:type="paragraph" w:styleId="000008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  <w:style w:type="paragraph" w:styleId="000003">
    <w:name w:val="toc 1"/>
    <w:basedOn w:val="Normal"/>
    <w:qFormat w:val="1"/>
    <w:pPr>
      <w:tabs>
        <w:tab w:val="right" w:leader="dot" w:pos="9072"/>
      </w:tabs>
      <w:spacing w:before="120" w:after="120" w:line="360"/>
    </w:pPr>
    <w:rPr>
      <w:rFonts w:ascii="SimSun" w:hAnsi="SimSun" w:eastAsia="SimSun" w:cs="SimSun"/>
      <w:sz w:val="24"/>
      <w:szCs w:val="24"/>
    </w:rPr>
  </w:style>
  <w:style w:type="paragraph" w:styleId="000004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4" Type="http://schemas.openxmlformats.org/officeDocument/2006/relationships/numbering" Target="numbering.xml" /><Relationship Id="rId5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2026-10-23T17:06:06Z</dcterms:created>
  <dcterms:modified xsi:type="dcterms:W3CDTF">2026-10-23T17:06:06Z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"01a167fe42197484a9e6dac771472cbe", "ReservedCode1": "", "ContentPropagator": "00119111010856365494821B355", "PropagateID": "01a167fe42197484a9e6dac771472cbe", "ReservedCode2": ""}}</vt:lpwstr>
  </property>
</Properties>
</file>