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proofErr w:type="gramStart"/>
      <w:r w:rsidR="00235694" w:rsidRPr="00160F17">
        <w:rPr>
          <w:sz w:val="24"/>
          <w:szCs w:val="24"/>
        </w:rPr>
        <w:t>utilise</w:t>
      </w:r>
      <w:proofErr w:type="gramEnd"/>
      <w:r w:rsidR="00235694" w:rsidRPr="00160F17">
        <w:rPr>
          <w:sz w:val="24"/>
          <w:szCs w:val="24"/>
        </w:rPr>
        <w:t xml:space="preserve">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08DB390B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</w:t>
      </w:r>
      <w:r w:rsidR="004E4B3D">
        <w:rPr>
          <w:sz w:val="24"/>
          <w:szCs w:val="24"/>
        </w:rPr>
        <w:t xml:space="preserve">a range of </w:t>
      </w:r>
      <w:r w:rsidRPr="00160F17">
        <w:rPr>
          <w:sz w:val="24"/>
          <w:szCs w:val="24"/>
        </w:rPr>
        <w:t xml:space="preserve">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 w:rsidR="003A04B6">
        <w:rPr>
          <w:sz w:val="24"/>
          <w:szCs w:val="24"/>
        </w:rPr>
        <w:t>to</w:t>
      </w:r>
      <w:proofErr w:type="gramEnd"/>
      <w:r w:rsidR="003A04B6"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various types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64B1AA46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5D280E19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55747464" w14:textId="3C28F606" w:rsidR="00820357" w:rsidRPr="009F4D04" w:rsidRDefault="00B73C7A" w:rsidP="009F4D04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sectPr w:rsidR="00820357" w:rsidRPr="009F4D04" w:rsidSect="00547973">
      <w:footerReference w:type="default" r:id="rId14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91AE0" w14:textId="77777777" w:rsidR="00E90594" w:rsidRDefault="00E90594" w:rsidP="00D1526D">
      <w:pPr>
        <w:spacing w:after="0" w:line="240" w:lineRule="auto"/>
      </w:pPr>
      <w:r>
        <w:separator/>
      </w:r>
    </w:p>
  </w:endnote>
  <w:endnote w:type="continuationSeparator" w:id="0">
    <w:p w14:paraId="00B6B8EF" w14:textId="77777777" w:rsidR="00E90594" w:rsidRDefault="00E90594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  <w:p w14:paraId="569128B0" w14:textId="2EA4E735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er 1.</w:t>
    </w:r>
    <w:r w:rsidR="00B73C7A">
      <w:rPr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20A5E" w14:textId="77777777" w:rsidR="00E90594" w:rsidRDefault="00E90594" w:rsidP="00D1526D">
      <w:pPr>
        <w:spacing w:after="0" w:line="240" w:lineRule="auto"/>
      </w:pPr>
      <w:r>
        <w:separator/>
      </w:r>
    </w:p>
  </w:footnote>
  <w:footnote w:type="continuationSeparator" w:id="0">
    <w:p w14:paraId="7E8C402C" w14:textId="77777777" w:rsidR="00E90594" w:rsidRDefault="00E90594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3F5E"/>
    <w:rsid w:val="00036F18"/>
    <w:rsid w:val="0004537E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5B2B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4E4B3D"/>
    <w:rsid w:val="00507711"/>
    <w:rsid w:val="00511A83"/>
    <w:rsid w:val="00547973"/>
    <w:rsid w:val="00562AC8"/>
    <w:rsid w:val="0058170E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84E94"/>
    <w:rsid w:val="006973B1"/>
    <w:rsid w:val="006B39B5"/>
    <w:rsid w:val="006E0FF4"/>
    <w:rsid w:val="006F7CFC"/>
    <w:rsid w:val="00711DC1"/>
    <w:rsid w:val="00716005"/>
    <w:rsid w:val="0077140F"/>
    <w:rsid w:val="00774157"/>
    <w:rsid w:val="00775410"/>
    <w:rsid w:val="007A1FB9"/>
    <w:rsid w:val="007B68AC"/>
    <w:rsid w:val="007C4757"/>
    <w:rsid w:val="007D0C48"/>
    <w:rsid w:val="007D2ACA"/>
    <w:rsid w:val="008124B0"/>
    <w:rsid w:val="00820357"/>
    <w:rsid w:val="008503E1"/>
    <w:rsid w:val="00855A11"/>
    <w:rsid w:val="008A35D6"/>
    <w:rsid w:val="008B6D23"/>
    <w:rsid w:val="008E114C"/>
    <w:rsid w:val="00943ABC"/>
    <w:rsid w:val="009B052D"/>
    <w:rsid w:val="009B38CD"/>
    <w:rsid w:val="009E1C4E"/>
    <w:rsid w:val="009F4D04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90594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0F31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8</cp:revision>
  <cp:lastPrinted>2024-05-08T14:57:00Z</cp:lastPrinted>
  <dcterms:created xsi:type="dcterms:W3CDTF">2024-05-15T00:56:00Z</dcterms:created>
  <dcterms:modified xsi:type="dcterms:W3CDTF">2024-05-15T01:25:00Z</dcterms:modified>
</cp:coreProperties>
</file>