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pStyle w:val="Title"/>
      </w:pPr>
      <w:r w:rsidDel="00000000" w:rsidR="00000000" w:rsidRPr="00000000">
        <w:rPr>
          <w:sz w:val="60"/>
          <w:highlight w:val="none"/>
          <w:rtl w:val="0"/>
        </w:rPr>
        <w:t xml:space="preserve">The ATUAV Eye Tracker Service</w:t>
      </w:r>
    </w:p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highlight w:val="none"/>
          <w:rtl w:val="0"/>
        </w:rPr>
        <w:t xml:space="preserve">Starting the Service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define processors in a text file in the following format: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each line begins with a unique Tobii eye tracker product ID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highlight w:val="none"/>
          <w:rtl w:val="0"/>
        </w:rPr>
        <w:t xml:space="preserve">separated by a tab comes a comma separated list of IDs to name each EmdatProcessor listening to that eye tracker.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if “-c” follows a processor ID, that processor will collect data cumulatively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highlight w:val="none"/>
          <w:rtl w:val="0"/>
        </w:rPr>
        <w:t xml:space="preserve">e.g. the below will create 2 EmdatProcessors for TT120-204080900268. “observer” will be interval based and “experiment-c” will be cumulative</w:t>
      </w:r>
    </w:p>
    <w:p w:rsidDel="00000000" w:rsidRDefault="00000000" w:rsidR="00000000" w:rsidRPr="00000000" w:rsidP="00000000">
      <w:pPr>
        <w:ind w:firstLine="0" w:left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TT120-204-80900268</w:t>
        <w:tab/>
        <w:t xml:space="preserve">observer,experiment-c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run with arguments: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-b = base address for the service (e.g. localhost:8080)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-p = filepath/to/processors.txt</w:t>
      </w:r>
    </w:p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highlight w:val="none"/>
          <w:rtl w:val="0"/>
        </w:rPr>
        <w:t xml:space="preserve">Calling the Service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start data collection by calling start with a runID and AOI definitions</w:t>
      </w:r>
    </w:p>
    <w:p w:rsidDel="00000000" w:rsidRDefault="00000000" w:rsidR="00000000" w:rsidRPr="00000000" w:rsidP="00000000">
      <w:pPr/>
      <w:r w:rsidDel="00000000" w:rsidR="00000000" w:rsidRPr="00000000">
        <w:rPr>
          <w:color w:val="0000ff"/>
          <w:highlight w:val="none"/>
          <w:rtl w:val="0"/>
        </w:rPr>
        <w:t xml:space="preserve">localhost:8080/start?runId={runId}&amp;aois={aois}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- sets AOIs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ab/>
        <w:t xml:space="preserve">- starts data collection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2a. periodically poll for whether a condition has been met by the data collected by a processor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color w:val="0000ff"/>
          <w:highlight w:val="none"/>
          <w:rtl w:val="0"/>
        </w:rPr>
        <w:t xml:space="preserve">localhost:8080/condition?processorId={processorId}&amp;condition={condition}&amp;callback={callback}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- returns true if condition was met, false otherwise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2b. alternatively poll for all features and do the analysis client side</w:t>
      </w:r>
    </w:p>
    <w:p w:rsidDel="00000000" w:rsidRDefault="00000000" w:rsidR="00000000" w:rsidRPr="00000000" w:rsidP="00000000">
      <w:pPr/>
      <w:r w:rsidDel="00000000" w:rsidR="00000000" w:rsidRPr="00000000">
        <w:rPr>
          <w:color w:val="0000ff"/>
          <w:highlight w:val="none"/>
          <w:rtl w:val="0"/>
        </w:rPr>
        <w:t xml:space="preserve">localhost:8080/features?processorId={processorId}&amp;callback={callback}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- returns a JSON representation of features and values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3. stop data collection</w:t>
      </w:r>
    </w:p>
    <w:p w:rsidDel="00000000" w:rsidRDefault="00000000" w:rsidR="00000000" w:rsidRPr="00000000" w:rsidP="00000000">
      <w:pPr/>
      <w:r w:rsidDel="00000000" w:rsidR="00000000" w:rsidRPr="00000000">
        <w:rPr>
          <w:color w:val="0000ff"/>
          <w:highlight w:val="none"/>
          <w:rtl w:val="0"/>
        </w:rPr>
        <w:t xml:space="preserve">localhost:8080/stop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- stops data collection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- clears data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highlight w:val="none"/>
          <w:rtl w:val="0"/>
        </w:rPr>
        <w:t xml:space="preserve">Defining Conditions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Conditions are hardcoded in the ATUAV_RT project. To create a new condition just create a new class that implements the </w:t>
      </w:r>
      <w:r w:rsidDel="00000000" w:rsidR="00000000" w:rsidRPr="00000000">
        <w:rPr>
          <w:b w:val="1"/>
          <w:highlight w:val="none"/>
          <w:rtl w:val="0"/>
        </w:rPr>
        <w:t xml:space="preserve">Condition</w:t>
      </w:r>
      <w:r w:rsidDel="00000000" w:rsidR="00000000" w:rsidRPr="00000000">
        <w:rPr>
          <w:highlight w:val="none"/>
          <w:rtl w:val="0"/>
        </w:rPr>
        <w:t xml:space="preserve"> interface</w:t>
      </w:r>
      <w:r w:rsidDel="00000000" w:rsidR="00000000" w:rsidRPr="00000000">
        <w:rPr>
          <w:highlight w:val="none"/>
          <w:rtl w:val="0"/>
        </w:rPr>
        <w:t xml:space="preserve">.  That’s it, no further configuration is needed since Conditions are loaded by reflection and automatically attached to every EmdatProcessor.</w:t>
      </w:r>
    </w:p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highlight w:val="none"/>
          <w:rtl w:val="0"/>
        </w:rPr>
        <w:t xml:space="preserve">Tobii Documentation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hyperlink r:id="rId5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Tobii Studio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hyperlink r:id="rId6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Tobii SDK 3.0</w:t>
        </w:r>
      </w:hyperlink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Mode="External" Target="http://www.tobii.com/Global/Analysis/Downloads/User_Manuals_and_Guides/Tobii%20SDK%203.0%20Release%20Candidate%201%20Developers%20Guide.pdf"/><Relationship Id="rId5" Type="http://schemas.openxmlformats.org/officeDocument/2006/relationships/hyperlink" TargetMode="External" Target="http://www.tobii.com/Global/Analysis/Downloads/User_Manuals_and_Guides/Tobii_Studio1.X_UserManual.pdf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Eye Tracker Service Documentation.docx</dc:title>
</cp:coreProperties>
</file>