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6ADBA" w14:textId="77777777" w:rsidR="00014C2F" w:rsidRDefault="008A77ED">
      <w:pPr>
        <w:spacing w:before="1600"/>
        <w:jc w:val="center"/>
      </w:pPr>
      <w:r>
        <w:rPr>
          <w:b/>
          <w:color w:val="007C83"/>
          <w:sz w:val="26"/>
        </w:rPr>
        <w:t>EDGE OF TOMORROW</w:t>
      </w:r>
    </w:p>
    <w:p w14:paraId="168CCF32" w14:textId="77777777" w:rsidR="00014C2F" w:rsidRDefault="008A77ED">
      <w:pPr>
        <w:pStyle w:val="Title"/>
        <w:jc w:val="center"/>
      </w:pPr>
      <w:r>
        <w:t>Paid in Seconds,</w:t>
      </w:r>
      <w:r>
        <w:br/>
        <w:t>Liable for Months</w:t>
      </w:r>
    </w:p>
    <w:p w14:paraId="2057869F" w14:textId="77777777" w:rsidR="00014C2F" w:rsidRDefault="008A77ED">
      <w:pPr>
        <w:pStyle w:val="Subtitle"/>
        <w:jc w:val="center"/>
      </w:pPr>
      <w:r>
        <w:t>Rewiring Merchant Settlement for Delayed Risk</w:t>
      </w:r>
    </w:p>
    <w:p w14:paraId="1BFFBE7B" w14:textId="77777777" w:rsidR="00014C2F" w:rsidRDefault="008A77ED">
      <w:pPr>
        <w:spacing w:before="440"/>
        <w:jc w:val="center"/>
      </w:pPr>
      <w:r>
        <w:rPr>
          <w:i/>
          <w:color w:val="5B6573"/>
          <w:sz w:val="26"/>
        </w:rPr>
        <w:t>A practitioner chapter proposing the Risk-Elastic Settlement Fabric</w:t>
      </w:r>
    </w:p>
    <w:p w14:paraId="5E29B689" w14:textId="77777777" w:rsidR="004C1012" w:rsidRDefault="004C1012">
      <w:pPr>
        <w:rPr>
          <w:rFonts w:asciiTheme="majorHAnsi" w:eastAsiaTheme="majorEastAsia" w:hAnsiTheme="majorHAnsi" w:cstheme="majorBidi"/>
          <w:b/>
          <w:bCs/>
          <w:sz w:val="38"/>
          <w:szCs w:val="28"/>
        </w:rPr>
      </w:pPr>
      <w:r>
        <w:br w:type="page"/>
      </w:r>
    </w:p>
    <w:p w14:paraId="2C7AE10E" w14:textId="723B0B34" w:rsidR="00014C2F" w:rsidRDefault="008A77ED">
      <w:pPr>
        <w:pStyle w:val="Heading1"/>
      </w:pPr>
      <w:r>
        <w:lastRenderedPageBreak/>
        <w:t>Chapter Abstract</w:t>
      </w:r>
    </w:p>
    <w:p w14:paraId="3BE698DC" w14:textId="77777777" w:rsidR="00014C2F" w:rsidRDefault="15C7EDBC">
      <w:pPr>
        <w:spacing w:after="120" w:line="259" w:lineRule="auto"/>
      </w:pPr>
      <w:r>
        <w:t>Merchant acquiring has developed a timing mismatch that conventional controls manage poorly: eligible merchants can receive card proceeds within minutes, while refunds, disputes, non-fulfilment and negative balances can emerge much later. Speed is valuable working capital, but once cash has left the acquirer’s control, delayed risk becomes harder to contain. This chapter proposes the Risk-Elastic Settlement Fabric (RESF), an operating model that releases a transaction-level safe tranche immediately and places only residual exposure into a staged reserve. Three emerging technologies are indispensable: verifiable merchant and fulfilment credentials establish trustworthy evidence; confidential multi-party graph intelligence identifies connected exposure without centralising raw participant data; and programmable settlement converts evidence and risk into controlled cash release. The model is not presented as a fraud-elimination machine. It can exclude legitimate merchants, amplify correlated errors, compromise privacy, diffuse accountability and allow acquirers to transfer their own capital burden to smaller firms. The chapter therefore makes governance executable through exposure caps, auditable reasons, merchant appeal, human accountability and a kill switch. A phased roadmap begins with shadow modelling and proceeds only through measurable gates. The argument is simple but contestable: payout speed should cease to be a binary product promise and become an evidence-governed allocation of irreversibility.</w:t>
      </w:r>
    </w:p>
    <w:p w14:paraId="02EB378F" w14:textId="77777777" w:rsidR="00014C2F" w:rsidRDefault="008A77ED">
      <w:r>
        <w:br w:type="page"/>
      </w:r>
    </w:p>
    <w:p w14:paraId="06DDE0E2" w14:textId="77777777" w:rsidR="00014C2F" w:rsidRDefault="008A77ED">
      <w:pPr>
        <w:pStyle w:val="Heading1"/>
      </w:pPr>
      <w:r>
        <w:lastRenderedPageBreak/>
        <w:t>1. The Provocation</w:t>
      </w:r>
    </w:p>
    <w:p w14:paraId="5A72A4E6" w14:textId="77777777" w:rsidR="00014C2F" w:rsidRDefault="008A77ED">
      <w:pPr>
        <w:spacing w:after="120" w:line="259" w:lineRule="auto"/>
      </w:pPr>
      <w:r>
        <w:t>Composite scenario, grounded in current acquiring practice. At 09:04 on a Monday, a growing online retailer sees a payout notification: $240,000 of weekend card sales is available. Payroll, fulfilment partners and an urgent inventory order are waiting, so the finance director moves the money immediately. The payout is commercially rational. It is also temporally incomplete. Some goods have not shipped, customer cancellations have not arrived, and disputes will mature after the cash has become difficult to r</w:t>
      </w:r>
      <w:r>
        <w:t>ecover. If the retailer fails, the acquirer or payment facilitator may still have to fund refunds and chargebacks from its own balance sheet. Stripe’s public documentation explains this underlying logic directly: processors maintain reserves because refunds and disputes can exceed a merchant’s available balance (Stripe, n.d.-a).</w:t>
      </w:r>
    </w:p>
    <w:p w14:paraId="37252AF9" w14:textId="77777777" w:rsidR="00014C2F" w:rsidRDefault="008A77ED">
      <w:pPr>
        <w:spacing w:after="120" w:line="259" w:lineRule="auto"/>
      </w:pPr>
      <w:r>
        <w:t>The board-level blind spot is not that faster money automatically creates more fraud. The stronger claim is that accelerated settlement compresses the time available to observe risk and removes recovery options before liability has matured. The industry still treats speed as a binary product attribute—instant or delayed—while the exposure underneath each payout is heterogeneous. A fulfilled digital subscription, a high-value pre-order, and a first transaction from a newly onboarded merchant should not consu</w:t>
      </w:r>
      <w:r>
        <w:t>me the same settlement confidence. Yet blunt reserves ration liquidity across whole accounts, while risk engines often stop at alerts rather than changing the cash flow.</w:t>
      </w:r>
    </w:p>
    <w:p w14:paraId="0384D64B" w14:textId="77777777" w:rsidR="00014C2F" w:rsidRDefault="008A77ED">
      <w:pPr>
        <w:spacing w:after="120" w:line="259" w:lineRule="auto"/>
      </w:pPr>
      <w:r>
        <w:t>This creates a governance dilemma. Hold too much and the acquirer quietly turns merchant revenue into free risk capital, harming legitimate firms. Release too much and shareholders, consumers or other ecosystem participants absorb losses that arrive after the payout. The choice is usually framed as speed versus safety. That framing is obsolete.</w:t>
      </w:r>
    </w:p>
    <w:p w14:paraId="1D517295" w14:textId="77777777" w:rsidR="00014C2F" w:rsidRDefault="008A77ED">
      <w:pPr>
        <w:spacing w:after="120" w:line="259" w:lineRule="auto"/>
      </w:pPr>
      <w:r>
        <w:t>Merchant acquirers should stop treating payout speed as a binary promise. They should release the transaction-level safe tranche immediately and place only residual exposure into a programmable reserve whose release is governed by independently verifiable evidence and privacy-preserving network intelligence.</w:t>
      </w:r>
    </w:p>
    <w:p w14:paraId="14C0F949" w14:textId="77777777" w:rsidR="00014C2F" w:rsidRDefault="008A77ED">
      <w:pPr>
        <w:pStyle w:val="Heading1"/>
      </w:pPr>
      <w:r>
        <w:t>2. Framing the Real-World Challenge</w:t>
      </w:r>
    </w:p>
    <w:p w14:paraId="63B475F2" w14:textId="77777777" w:rsidR="00014C2F" w:rsidRDefault="008A77ED">
      <w:pPr>
        <w:pStyle w:val="Heading2"/>
      </w:pPr>
      <w:r>
        <w:t>2.1 The business problem in plain terms</w:t>
      </w:r>
    </w:p>
    <w:p w14:paraId="07F80D13" w14:textId="77777777" w:rsidR="00014C2F" w:rsidRDefault="008A77ED">
      <w:pPr>
        <w:spacing w:after="120" w:line="259" w:lineRule="auto"/>
      </w:pPr>
      <w:r>
        <w:t>An acquirer enables a merchant to accept card payments and sits inside a chain of obligations linking merchant, customer, issuer and payment scheme. The operational event called a payout does not end those obligations. Refunds, disputes, delivery failures and merchant insolvency may arise after funds have been transferred. Public processor terms therefore permit reserves, delayed settlement, debits and recovery from linked accounts. Stripe describes both fixed and rolling reserves, while Adyen explains that</w:t>
      </w:r>
      <w:r>
        <w:t xml:space="preserve"> deposit reserves cover potential future liabilities such as chargebacks and refunds (Stripe, n.d.-a; Adyen, n.d.-a).</w:t>
      </w:r>
    </w:p>
    <w:p w14:paraId="4E207B68" w14:textId="77777777" w:rsidR="00014C2F" w:rsidRDefault="008A77ED">
      <w:pPr>
        <w:spacing w:after="120" w:line="259" w:lineRule="auto"/>
      </w:pPr>
      <w:r>
        <w:t>The commercial pressure runs in the opposite direction. Stripe and Adyen both market accelerated or instant payouts to eligible users because working-capital speed is valuable (Stripe, n.d.-b; Adyen, n.d.-b). Meanwhile, regulatory action on instant account-to-account payments is raising customer expectations of immediacy and verification. The European Union’s Instant Payments Regulation requires instant euro transfers and verification of payee, while the UK Payment Systems Regulator’s APP reimbursement regi</w:t>
      </w:r>
      <w:r>
        <w:t>me reallocates fraud-loss responsibilities between sending and receiving firms (European Parliament &amp; Council, 2024; Payment Systems Regulator, 2023). These regimes do not govern card-acquiring payouts in the same way; they demonstrate that speed increasingly arrives with explicit liability and verification design.</w:t>
      </w:r>
    </w:p>
    <w:p w14:paraId="0B6C9EA7" w14:textId="77777777" w:rsidR="00014C2F" w:rsidRDefault="008A77ED">
      <w:pPr>
        <w:spacing w:after="120" w:line="259" w:lineRule="auto"/>
      </w:pPr>
      <w:r>
        <w:t>The stakeholders are not aligned. Merchants need predictable access to earned cash. Acquirers and payment facilitators need to contain tail losses and scheme penalties. Issuers and cardholders expect valid disputes and refunds to be honoured. Regulators expect fair treatment, operational resilience and explainable decisions. Payment schemes monitor excessive fraud and disputes; Visa’s Acquirer Monitoring Program and Mastercard’s merchant monitoring capabilities illustrate the scrutiny applied across acquiri</w:t>
      </w:r>
      <w:r>
        <w:t xml:space="preserve">ng portfolios (Visa, 2025; Mastercard, </w:t>
      </w:r>
      <w:r>
        <w:lastRenderedPageBreak/>
        <w:t>n.d.). The problem is therefore not merely fraud detection. It is deciding when revenue can safely become irreversible, who bears the residual risk, and how that decision can be challenged.</w:t>
      </w:r>
    </w:p>
    <w:p w14:paraId="2293831B" w14:textId="77777777" w:rsidR="00014C2F" w:rsidRDefault="008A77ED">
      <w:pPr>
        <w:pStyle w:val="Heading2"/>
      </w:pPr>
      <w:r>
        <w:t>2.2 Why existing solutions remain insufficient</w:t>
      </w:r>
    </w:p>
    <w:tbl>
      <w:tblPr>
        <w:tblStyle w:val="TableGrid"/>
        <w:tblW w:w="0" w:type="auto"/>
        <w:jc w:val="center"/>
        <w:tblLook w:val="04A0" w:firstRow="1" w:lastRow="0" w:firstColumn="1" w:lastColumn="0" w:noHBand="0" w:noVBand="1"/>
      </w:tblPr>
      <w:tblGrid>
        <w:gridCol w:w="1800"/>
        <w:gridCol w:w="2880"/>
        <w:gridCol w:w="4608"/>
      </w:tblGrid>
      <w:tr w:rsidR="00014C2F" w14:paraId="678CF9C5" w14:textId="77777777">
        <w:trPr>
          <w:tblHeader/>
          <w:jc w:val="center"/>
        </w:trPr>
        <w:tc>
          <w:tcPr>
            <w:tcW w:w="1800" w:type="dxa"/>
            <w:shd w:val="clear" w:color="auto" w:fill="12304A"/>
            <w:tcMar>
              <w:top w:w="100" w:type="dxa"/>
              <w:left w:w="120" w:type="dxa"/>
              <w:bottom w:w="100" w:type="dxa"/>
              <w:right w:w="120" w:type="dxa"/>
            </w:tcMar>
            <w:vAlign w:val="center"/>
          </w:tcPr>
          <w:p w14:paraId="38122F9E" w14:textId="77777777" w:rsidR="00014C2F" w:rsidRDefault="008A77ED">
            <w:pPr>
              <w:jc w:val="center"/>
            </w:pPr>
            <w:r>
              <w:rPr>
                <w:b/>
                <w:color w:val="FFFFFF"/>
                <w:sz w:val="18"/>
              </w:rPr>
              <w:t>Solution family</w:t>
            </w:r>
          </w:p>
        </w:tc>
        <w:tc>
          <w:tcPr>
            <w:tcW w:w="2880" w:type="dxa"/>
            <w:shd w:val="clear" w:color="auto" w:fill="12304A"/>
            <w:tcMar>
              <w:top w:w="100" w:type="dxa"/>
              <w:left w:w="120" w:type="dxa"/>
              <w:bottom w:w="100" w:type="dxa"/>
              <w:right w:w="120" w:type="dxa"/>
            </w:tcMar>
            <w:vAlign w:val="center"/>
          </w:tcPr>
          <w:p w14:paraId="662755E6" w14:textId="77777777" w:rsidR="00014C2F" w:rsidRDefault="008A77ED">
            <w:pPr>
              <w:jc w:val="center"/>
            </w:pPr>
            <w:r>
              <w:rPr>
                <w:b/>
                <w:color w:val="FFFFFF"/>
                <w:sz w:val="18"/>
              </w:rPr>
              <w:t>Why it was expected to work</w:t>
            </w:r>
          </w:p>
        </w:tc>
        <w:tc>
          <w:tcPr>
            <w:tcW w:w="4608" w:type="dxa"/>
            <w:shd w:val="clear" w:color="auto" w:fill="12304A"/>
            <w:tcMar>
              <w:top w:w="100" w:type="dxa"/>
              <w:left w:w="120" w:type="dxa"/>
              <w:bottom w:w="100" w:type="dxa"/>
              <w:right w:w="120" w:type="dxa"/>
            </w:tcMar>
            <w:vAlign w:val="center"/>
          </w:tcPr>
          <w:p w14:paraId="468085E7" w14:textId="77777777" w:rsidR="00014C2F" w:rsidRDefault="008A77ED">
            <w:pPr>
              <w:jc w:val="center"/>
            </w:pPr>
            <w:r>
              <w:rPr>
                <w:b/>
                <w:color w:val="FFFFFF"/>
                <w:sz w:val="18"/>
              </w:rPr>
              <w:t>Specific limitation</w:t>
            </w:r>
          </w:p>
        </w:tc>
      </w:tr>
      <w:tr w:rsidR="00014C2F" w14:paraId="2A2CB75A" w14:textId="77777777">
        <w:trPr>
          <w:jc w:val="center"/>
        </w:trPr>
        <w:tc>
          <w:tcPr>
            <w:tcW w:w="1800" w:type="dxa"/>
            <w:tcMar>
              <w:top w:w="100" w:type="dxa"/>
              <w:left w:w="120" w:type="dxa"/>
              <w:bottom w:w="100" w:type="dxa"/>
              <w:right w:w="120" w:type="dxa"/>
            </w:tcMar>
            <w:vAlign w:val="center"/>
          </w:tcPr>
          <w:p w14:paraId="1A2F3646" w14:textId="77777777" w:rsidR="00014C2F" w:rsidRDefault="008A77ED">
            <w:r>
              <w:rPr>
                <w:sz w:val="16"/>
              </w:rPr>
              <w:t>Fixed or rolling reserves</w:t>
            </w:r>
          </w:p>
        </w:tc>
        <w:tc>
          <w:tcPr>
            <w:tcW w:w="2880" w:type="dxa"/>
            <w:tcMar>
              <w:top w:w="100" w:type="dxa"/>
              <w:left w:w="120" w:type="dxa"/>
              <w:bottom w:w="100" w:type="dxa"/>
              <w:right w:w="120" w:type="dxa"/>
            </w:tcMar>
            <w:vAlign w:val="center"/>
          </w:tcPr>
          <w:p w14:paraId="3FFAC030" w14:textId="77777777" w:rsidR="00014C2F" w:rsidRDefault="008A77ED">
            <w:r>
              <w:rPr>
                <w:sz w:val="16"/>
              </w:rPr>
              <w:t>Create a loss buffer by withholding a percentage or fixed amount.</w:t>
            </w:r>
          </w:p>
        </w:tc>
        <w:tc>
          <w:tcPr>
            <w:tcW w:w="4608" w:type="dxa"/>
            <w:tcMar>
              <w:top w:w="100" w:type="dxa"/>
              <w:left w:w="120" w:type="dxa"/>
              <w:bottom w:w="100" w:type="dxa"/>
              <w:right w:w="120" w:type="dxa"/>
            </w:tcMar>
            <w:vAlign w:val="center"/>
          </w:tcPr>
          <w:p w14:paraId="4572856C" w14:textId="77777777" w:rsidR="00014C2F" w:rsidRDefault="008A77ED">
            <w:r>
              <w:rPr>
                <w:sz w:val="16"/>
              </w:rPr>
              <w:t>Blunt at account level; protects the acquirer by reducing merchant liquidity, and time alone is a weak proxy for fulfilment.</w:t>
            </w:r>
          </w:p>
        </w:tc>
      </w:tr>
      <w:tr w:rsidR="00014C2F" w14:paraId="4F73D61B" w14:textId="77777777">
        <w:trPr>
          <w:jc w:val="center"/>
        </w:trPr>
        <w:tc>
          <w:tcPr>
            <w:tcW w:w="1800" w:type="dxa"/>
            <w:shd w:val="clear" w:color="auto" w:fill="F4F7F8"/>
            <w:tcMar>
              <w:top w:w="100" w:type="dxa"/>
              <w:left w:w="120" w:type="dxa"/>
              <w:bottom w:w="100" w:type="dxa"/>
              <w:right w:w="120" w:type="dxa"/>
            </w:tcMar>
            <w:vAlign w:val="center"/>
          </w:tcPr>
          <w:p w14:paraId="508EDC0E" w14:textId="77777777" w:rsidR="00014C2F" w:rsidRDefault="008A77ED">
            <w:r>
              <w:rPr>
                <w:sz w:val="16"/>
              </w:rPr>
              <w:t>Risk scoring and monitoring</w:t>
            </w:r>
          </w:p>
        </w:tc>
        <w:tc>
          <w:tcPr>
            <w:tcW w:w="2880" w:type="dxa"/>
            <w:shd w:val="clear" w:color="auto" w:fill="F4F7F8"/>
            <w:tcMar>
              <w:top w:w="100" w:type="dxa"/>
              <w:left w:w="120" w:type="dxa"/>
              <w:bottom w:w="100" w:type="dxa"/>
              <w:right w:w="120" w:type="dxa"/>
            </w:tcMar>
            <w:vAlign w:val="center"/>
          </w:tcPr>
          <w:p w14:paraId="18056F63" w14:textId="77777777" w:rsidR="00014C2F" w:rsidRDefault="008A77ED">
            <w:r>
              <w:rPr>
                <w:sz w:val="16"/>
              </w:rPr>
              <w:t>Rank merchants or transactions and trigger reviews.</w:t>
            </w:r>
          </w:p>
        </w:tc>
        <w:tc>
          <w:tcPr>
            <w:tcW w:w="4608" w:type="dxa"/>
            <w:shd w:val="clear" w:color="auto" w:fill="F4F7F8"/>
            <w:tcMar>
              <w:top w:w="100" w:type="dxa"/>
              <w:left w:w="120" w:type="dxa"/>
              <w:bottom w:w="100" w:type="dxa"/>
              <w:right w:w="120" w:type="dxa"/>
            </w:tcMar>
            <w:vAlign w:val="center"/>
          </w:tcPr>
          <w:p w14:paraId="687D1107" w14:textId="77777777" w:rsidR="00014C2F" w:rsidRDefault="008A77ED">
            <w:r>
              <w:rPr>
                <w:sz w:val="16"/>
              </w:rPr>
              <w:t>Often ends with an alert; it does not itself determine a fair, transaction-level cash release.</w:t>
            </w:r>
          </w:p>
        </w:tc>
      </w:tr>
      <w:tr w:rsidR="00014C2F" w14:paraId="735C3313" w14:textId="77777777">
        <w:trPr>
          <w:jc w:val="center"/>
        </w:trPr>
        <w:tc>
          <w:tcPr>
            <w:tcW w:w="1800" w:type="dxa"/>
            <w:tcMar>
              <w:top w:w="100" w:type="dxa"/>
              <w:left w:w="120" w:type="dxa"/>
              <w:bottom w:w="100" w:type="dxa"/>
              <w:right w:w="120" w:type="dxa"/>
            </w:tcMar>
            <w:vAlign w:val="center"/>
          </w:tcPr>
          <w:p w14:paraId="0DBB4D46" w14:textId="77777777" w:rsidR="00014C2F" w:rsidRDefault="008A77ED">
            <w:r>
              <w:rPr>
                <w:sz w:val="16"/>
              </w:rPr>
              <w:t>Instant-payout eligibility</w:t>
            </w:r>
          </w:p>
        </w:tc>
        <w:tc>
          <w:tcPr>
            <w:tcW w:w="2880" w:type="dxa"/>
            <w:tcMar>
              <w:top w:w="100" w:type="dxa"/>
              <w:left w:w="120" w:type="dxa"/>
              <w:bottom w:w="100" w:type="dxa"/>
              <w:right w:w="120" w:type="dxa"/>
            </w:tcMar>
            <w:vAlign w:val="center"/>
          </w:tcPr>
          <w:p w14:paraId="36898C95" w14:textId="77777777" w:rsidR="00014C2F" w:rsidRDefault="008A77ED">
            <w:r>
              <w:rPr>
                <w:sz w:val="16"/>
              </w:rPr>
              <w:t>Offer speed only to approved merchants and impose limits.</w:t>
            </w:r>
          </w:p>
        </w:tc>
        <w:tc>
          <w:tcPr>
            <w:tcW w:w="4608" w:type="dxa"/>
            <w:tcMar>
              <w:top w:w="100" w:type="dxa"/>
              <w:left w:w="120" w:type="dxa"/>
              <w:bottom w:w="100" w:type="dxa"/>
              <w:right w:w="120" w:type="dxa"/>
            </w:tcMar>
            <w:vAlign w:val="center"/>
          </w:tcPr>
          <w:p w14:paraId="4BFAA31E" w14:textId="77777777" w:rsidR="00014C2F" w:rsidRDefault="008A77ED">
            <w:r>
              <w:rPr>
                <w:sz w:val="16"/>
              </w:rPr>
              <w:t>Binary eligibility excludes thin-file merchants and can become stale between reviews.</w:t>
            </w:r>
          </w:p>
        </w:tc>
      </w:tr>
      <w:tr w:rsidR="00014C2F" w14:paraId="4BBB0E51" w14:textId="77777777">
        <w:trPr>
          <w:jc w:val="center"/>
        </w:trPr>
        <w:tc>
          <w:tcPr>
            <w:tcW w:w="1800" w:type="dxa"/>
            <w:shd w:val="clear" w:color="auto" w:fill="F4F7F8"/>
            <w:tcMar>
              <w:top w:w="100" w:type="dxa"/>
              <w:left w:w="120" w:type="dxa"/>
              <w:bottom w:w="100" w:type="dxa"/>
              <w:right w:w="120" w:type="dxa"/>
            </w:tcMar>
            <w:vAlign w:val="center"/>
          </w:tcPr>
          <w:p w14:paraId="7B898BB0" w14:textId="77777777" w:rsidR="00014C2F" w:rsidRDefault="008A77ED">
            <w:r>
              <w:rPr>
                <w:sz w:val="16"/>
              </w:rPr>
              <w:t>Network monitoring programmes</w:t>
            </w:r>
          </w:p>
        </w:tc>
        <w:tc>
          <w:tcPr>
            <w:tcW w:w="2880" w:type="dxa"/>
            <w:shd w:val="clear" w:color="auto" w:fill="F4F7F8"/>
            <w:tcMar>
              <w:top w:w="100" w:type="dxa"/>
              <w:left w:w="120" w:type="dxa"/>
              <w:bottom w:w="100" w:type="dxa"/>
              <w:right w:w="120" w:type="dxa"/>
            </w:tcMar>
            <w:vAlign w:val="center"/>
          </w:tcPr>
          <w:p w14:paraId="15415834" w14:textId="77777777" w:rsidR="00014C2F" w:rsidRDefault="008A77ED">
            <w:r>
              <w:rPr>
                <w:sz w:val="16"/>
              </w:rPr>
              <w:t>Use scheme-wide fraud and dispute thresholds to discipline portfolios.</w:t>
            </w:r>
          </w:p>
        </w:tc>
        <w:tc>
          <w:tcPr>
            <w:tcW w:w="4608" w:type="dxa"/>
            <w:shd w:val="clear" w:color="auto" w:fill="F4F7F8"/>
            <w:tcMar>
              <w:top w:w="100" w:type="dxa"/>
              <w:left w:w="120" w:type="dxa"/>
              <w:bottom w:w="100" w:type="dxa"/>
              <w:right w:w="120" w:type="dxa"/>
            </w:tcMar>
            <w:vAlign w:val="center"/>
          </w:tcPr>
          <w:p w14:paraId="0AE73757" w14:textId="77777777" w:rsidR="00014C2F" w:rsidRDefault="008A77ED">
            <w:r>
              <w:rPr>
                <w:sz w:val="16"/>
              </w:rPr>
              <w:t>Necessary oversight, but thresholds are retrospective and designed for compliance intervention, not granular liquidity allocation.</w:t>
            </w:r>
          </w:p>
        </w:tc>
      </w:tr>
      <w:tr w:rsidR="00014C2F" w14:paraId="5EB8B83B" w14:textId="77777777">
        <w:trPr>
          <w:jc w:val="center"/>
        </w:trPr>
        <w:tc>
          <w:tcPr>
            <w:tcW w:w="1800" w:type="dxa"/>
            <w:tcMar>
              <w:top w:w="100" w:type="dxa"/>
              <w:left w:w="120" w:type="dxa"/>
              <w:bottom w:w="100" w:type="dxa"/>
              <w:right w:w="120" w:type="dxa"/>
            </w:tcMar>
            <w:vAlign w:val="center"/>
          </w:tcPr>
          <w:p w14:paraId="085C378A" w14:textId="77777777" w:rsidR="00014C2F" w:rsidRDefault="008A77ED">
            <w:r>
              <w:rPr>
                <w:sz w:val="16"/>
              </w:rPr>
              <w:t>Programmable payment pilots</w:t>
            </w:r>
          </w:p>
        </w:tc>
        <w:tc>
          <w:tcPr>
            <w:tcW w:w="2880" w:type="dxa"/>
            <w:tcMar>
              <w:top w:w="100" w:type="dxa"/>
              <w:left w:w="120" w:type="dxa"/>
              <w:bottom w:w="100" w:type="dxa"/>
              <w:right w:w="120" w:type="dxa"/>
            </w:tcMar>
            <w:vAlign w:val="center"/>
          </w:tcPr>
          <w:p w14:paraId="2DA1D693" w14:textId="77777777" w:rsidR="00014C2F" w:rsidRDefault="008A77ED">
            <w:r>
              <w:rPr>
                <w:sz w:val="16"/>
              </w:rPr>
              <w:t>Automate conditional movement of money.</w:t>
            </w:r>
          </w:p>
        </w:tc>
        <w:tc>
          <w:tcPr>
            <w:tcW w:w="4608" w:type="dxa"/>
            <w:tcMar>
              <w:top w:w="100" w:type="dxa"/>
              <w:left w:w="120" w:type="dxa"/>
              <w:bottom w:w="100" w:type="dxa"/>
              <w:right w:w="120" w:type="dxa"/>
            </w:tcMar>
            <w:vAlign w:val="center"/>
          </w:tcPr>
          <w:p w14:paraId="240DC469" w14:textId="77777777" w:rsidR="00014C2F" w:rsidRDefault="008A77ED">
            <w:r>
              <w:rPr>
                <w:sz w:val="16"/>
              </w:rPr>
              <w:t>Programmability can execute a bad decision perfectly if evidence, accountability and appeal are weak.</w:t>
            </w:r>
          </w:p>
        </w:tc>
      </w:tr>
    </w:tbl>
    <w:p w14:paraId="6A05A809" w14:textId="77777777" w:rsidR="00014C2F" w:rsidRDefault="00014C2F">
      <w:pPr>
        <w:spacing w:after="40"/>
      </w:pPr>
    </w:p>
    <w:p w14:paraId="2584C336" w14:textId="77777777" w:rsidR="00014C2F" w:rsidRDefault="008A77ED">
      <w:pPr>
        <w:spacing w:after="120" w:line="259" w:lineRule="auto"/>
      </w:pPr>
      <w:r>
        <w:t>The common failure is structural: existing approaches either observe risk without governing the release of cash, or govern cash with coarse rules that do not improve as evidence matures.</w:t>
      </w:r>
    </w:p>
    <w:p w14:paraId="50DCB645" w14:textId="77777777" w:rsidR="00014C2F" w:rsidRDefault="008A77ED">
      <w:pPr>
        <w:pStyle w:val="Heading1"/>
      </w:pPr>
      <w:r>
        <w:t>3. The Strategic Landscape: What Emerging Technologies Make Newly Possible</w:t>
      </w:r>
    </w:p>
    <w:p w14:paraId="5A5F4FD8" w14:textId="77777777" w:rsidR="00014C2F" w:rsidRDefault="008A77ED">
      <w:pPr>
        <w:pStyle w:val="Heading2"/>
      </w:pPr>
      <w:r>
        <w:t>3.1 Verifiable merchant and fulfilment credentials</w:t>
      </w:r>
    </w:p>
    <w:p w14:paraId="128CE469" w14:textId="77777777" w:rsidR="00014C2F" w:rsidRDefault="008A77ED">
      <w:pPr>
        <w:spacing w:after="120" w:line="259" w:lineRule="auto"/>
      </w:pPr>
      <w:r>
        <w:t>Historically, an acquirer wishing to verify ownership, licensing, bank-account control or fulfilment had to collect documents, call external services, or trust data copied into its own systems. Evidence became stale, difficult to revoke and expensive to reconcile. The W3C Verifiable Credentials Data Model 2.0 provides a standard way for an issuer to make cryptographically verifiable claims that a holder can present to a verifier (W3C, 2025). In this context, a registry could attest to corporate status, a ba</w:t>
      </w:r>
      <w:r>
        <w:t>nk to account ownership, and a logistics provider to shipment or delivery events.</w:t>
      </w:r>
    </w:p>
    <w:p w14:paraId="32AA827C" w14:textId="77777777" w:rsidR="00014C2F" w:rsidRDefault="008A77ED">
      <w:pPr>
        <w:spacing w:after="120" w:line="259" w:lineRule="auto"/>
      </w:pPr>
      <w:r>
        <w:t>The business constraint loosened is evidence latency. A reserve need not wait only for elapsed time if independent evidence shows that part of the exposure has matured. The benefit is narrower withholding and a more defensible reason for release. The limitation is fundamental: cryptography proves the integrity and provenance of a claim, not the truth of the real-world event. A compromised issuer can create impeccably signed falsehoods. Governance must therefore define eligible issuers, revocation, expiry an</w:t>
      </w:r>
      <w:r>
        <w:t>d evidence diversity.</w:t>
      </w:r>
    </w:p>
    <w:p w14:paraId="5DBD60AF" w14:textId="77777777" w:rsidR="00014C2F" w:rsidRDefault="008A77ED">
      <w:pPr>
        <w:pStyle w:val="Heading2"/>
      </w:pPr>
      <w:r>
        <w:t>3.2 Confidential multi-party graph intelligence</w:t>
      </w:r>
    </w:p>
    <w:p w14:paraId="252FC4E1" w14:textId="77777777" w:rsidR="00014C2F" w:rsidRDefault="008A77ED">
      <w:pPr>
        <w:spacing w:after="120" w:line="259" w:lineRule="auto"/>
      </w:pPr>
      <w:r>
        <w:t>Fraud and merchant failure rarely respect institutional boundaries. The same beneficial owner, device, bank account, fulfilment partner or website infrastructure may appear across several acquirers. Conventional data pooling can reveal those connections, but it creates privacy, competition, security and sovereignty concerns. Confidential computing protects data while in use inside attested environments; secure multi-party computation and federated approaches can support joint analytics without every partici</w:t>
      </w:r>
      <w:r>
        <w:t>pant exposing raw data (Confidential Computing Consortium, 2023; NIST, 2024).</w:t>
      </w:r>
    </w:p>
    <w:p w14:paraId="7D0E67A9" w14:textId="77777777" w:rsidR="00014C2F" w:rsidRDefault="008A77ED">
      <w:pPr>
        <w:spacing w:after="120" w:line="259" w:lineRule="auto"/>
      </w:pPr>
      <w:r>
        <w:t xml:space="preserve">The constraint loosened is fragmented visibility. Participants can contribute indicators and receive risk signals without building a central warehouse of commercially sensitive data. The new constraint is dependency on complex </w:t>
      </w:r>
      <w:r>
        <w:lastRenderedPageBreak/>
        <w:t>cryptography, attestation, shared definitions and infrastructure providers. Privacy-preserving computation is not automatically privacy-safe: outputs can leak information, poor contribution rules can allow poisoning, and common cloud or hardware dependencies create concentration risk.</w:t>
      </w:r>
    </w:p>
    <w:p w14:paraId="1BF4BEE9" w14:textId="77777777" w:rsidR="00014C2F" w:rsidRDefault="008A77ED">
      <w:pPr>
        <w:spacing w:after="120" w:line="259" w:lineRule="auto"/>
      </w:pPr>
      <w:r>
        <w:t>This capability is most valuable when it answers a narrow question—whether the current payout is connected to exposure already visible elsewhere—rather than building a universal merchant reputation score. Narrow purpose reduces competitive and privacy concerns. It also limits commercial value: participants must agree common identifiers, contribution quality and permissible outputs, while accepting that a privacy-preserving answer may be less precise than unrestricted data pooling.</w:t>
      </w:r>
    </w:p>
    <w:p w14:paraId="22C5F222" w14:textId="77777777" w:rsidR="00014C2F" w:rsidRDefault="008A77ED">
      <w:pPr>
        <w:pStyle w:val="Heading2"/>
      </w:pPr>
      <w:r>
        <w:t>3.3 Programmable risk-elastic settlement</w:t>
      </w:r>
    </w:p>
    <w:p w14:paraId="7BD39932" w14:textId="77777777" w:rsidR="00014C2F" w:rsidRDefault="008A77ED">
      <w:pPr>
        <w:spacing w:after="120" w:line="259" w:lineRule="auto"/>
      </w:pPr>
      <w:r>
        <w:t>Traditional settlement configuration is built around calendar time, merchant categories and account-level rules. Programmable settlement allows policy and evidence to determine how a payment obligation is divided and released. BIS work on tokenisation and unified ledgers describes the potential to combine messaging, reconciliation and settlement with programmability, although legal design and interoperability remain unresolved (Bank for International Settlements, 2023; BIS Innovation Hub, 2024). RESF does n</w:t>
      </w:r>
      <w:r>
        <w:t>ot require public cryptocurrency: programmable policy orchestration can operate over conventional bank-money and acquiring rails.</w:t>
      </w:r>
    </w:p>
    <w:p w14:paraId="396F64BB" w14:textId="77777777" w:rsidR="00014C2F" w:rsidRDefault="008A77ED">
      <w:pPr>
        <w:spacing w:after="120" w:line="259" w:lineRule="auto"/>
      </w:pPr>
      <w:r>
        <w:t>The constraint loosened is the gap between insight and action. Risk evidence can change the proportion released now rather than merely creating another case for an analyst. The new constraint is that code acquires economic power. A configuration error can withhold or release money at scale; legal finality, safeguarding, reconciliation and reversal must be explicit. The technology therefore increases the need for accountable human design rather than eliminating it.</w:t>
      </w:r>
    </w:p>
    <w:p w14:paraId="74DDC2F4" w14:textId="77777777" w:rsidR="00014C2F" w:rsidRDefault="008A77ED">
      <w:pPr>
        <w:spacing w:after="120" w:line="259" w:lineRule="auto"/>
      </w:pPr>
      <w:r>
        <w:t>For a board, programmability should mean enforceable decision rights, not autonomous finance. Release policies must specify maximum discretion, fallback behaviour, reconciliation and the authority to suspend execution. The gain is consistency and speed; the cost is a new class of operational incident in which policy defects propagate directly into money movement.</w:t>
      </w:r>
    </w:p>
    <w:p w14:paraId="00AB248E" w14:textId="77777777" w:rsidR="00014C2F" w:rsidRDefault="008A77ED">
      <w:pPr>
        <w:pStyle w:val="Heading1"/>
      </w:pPr>
      <w:r>
        <w:t>4. The Proposed Solution: An Integrated Model</w:t>
      </w:r>
    </w:p>
    <w:p w14:paraId="37B15B76" w14:textId="77777777" w:rsidR="00014C2F" w:rsidRDefault="008A77ED">
      <w:pPr>
        <w:pStyle w:val="Heading2"/>
      </w:pPr>
      <w:r>
        <w:t>4.1 What it is, in one paragraph</w:t>
      </w:r>
    </w:p>
    <w:p w14:paraId="59233F7D" w14:textId="77777777" w:rsidR="00014C2F" w:rsidRDefault="008A77ED">
      <w:pPr>
        <w:spacing w:after="120" w:line="259" w:lineRule="auto"/>
      </w:pPr>
      <w:r>
        <w:t>The Risk-Elastic Settlement Fabric is a decision and orchestration layer for acquirers and payment facilitators. For each payout cohort, it establishes verifiable merchant and fulfilment evidence, computes network-aware exposure through privacy-preserving graph intelligence, and converts that exposure into two cash flows: an immediate safe tranche and a staged reserve released as evidence and liability mature. It sits above existing ledgers and payout rails rather than replacing them. Its economic promise i</w:t>
      </w:r>
      <w:r>
        <w:t>s not ‘zero fraud’; it is lower net loss and less unnecessary merchant liquidity held for the same risk appetite. That promise carries additional integration, governance, privacy, model-risk and capital costs, so deployment proceeds only through measured gates.</w:t>
      </w:r>
    </w:p>
    <w:p w14:paraId="11D3A9AE" w14:textId="77777777" w:rsidR="00014C2F" w:rsidRDefault="008A77ED">
      <w:pPr>
        <w:spacing w:after="120" w:line="259" w:lineRule="auto"/>
      </w:pPr>
      <w:r>
        <w:t>RESF is novel at the level of integration and operating model, not because its components are unprecedented. Commercial providers already offer instant payouts, reserves, AI risk scoring and merchant monitoring. The white space is the closed loop that links independently verifiable evidence and privacy-preserving network context to a transaction-level allocation of cash, while embedding merchant remedy and exposure limits in the execution path. The claim should therefore remain modest: public product materi</w:t>
      </w:r>
      <w:r>
        <w:t>als reviewed for this chapter did not evidence the full combination as a mainstream offering.</w:t>
      </w:r>
    </w:p>
    <w:p w14:paraId="20860C0E" w14:textId="77777777" w:rsidR="00014C2F" w:rsidRDefault="008A77ED">
      <w:pPr>
        <w:spacing w:after="120" w:line="259" w:lineRule="auto"/>
      </w:pPr>
      <w:r>
        <w:t>Operationally, the acquirer remains the customer-facing and legally accountable settlement principal. Approved issuers create time-bounded credentials; a governed consortium computes only agreed graph features; the acquirer’s policy engine determines the safe tranche within hard limits; and existing treasury and payout systems execute and reconcile the result. Merchants see a payout statement that separates released cash, retained exposure, release conditions and the next review date. Human operations handl</w:t>
      </w:r>
      <w:r>
        <w:t>e exceptions and appeals rather than routinely approving every payout.</w:t>
      </w:r>
    </w:p>
    <w:p w14:paraId="5A39BBE3" w14:textId="77777777" w:rsidR="00014C2F" w:rsidRDefault="008A77ED">
      <w:pPr>
        <w:jc w:val="center"/>
      </w:pPr>
      <w:r>
        <w:rPr>
          <w:noProof/>
        </w:rPr>
        <w:lastRenderedPageBreak/>
        <w:drawing>
          <wp:inline distT="0" distB="0" distL="0" distR="0" wp14:anchorId="5F71F35F" wp14:editId="07777777">
            <wp:extent cx="621792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e350a6e7.png"/>
                    <pic:cNvPicPr/>
                  </pic:nvPicPr>
                  <pic:blipFill>
                    <a:blip r:embed="rId8"/>
                    <a:stretch>
                      <a:fillRect/>
                    </a:stretch>
                  </pic:blipFill>
                  <pic:spPr>
                    <a:xfrm>
                      <a:off x="0" y="0"/>
                      <a:ext cx="6217920" cy="4145280"/>
                    </a:xfrm>
                    <a:prstGeom prst="rect">
                      <a:avLst/>
                    </a:prstGeom>
                  </pic:spPr>
                </pic:pic>
              </a:graphicData>
            </a:graphic>
          </wp:inline>
        </w:drawing>
      </w:r>
    </w:p>
    <w:p w14:paraId="5095F63C" w14:textId="77777777" w:rsidR="00014C2F" w:rsidRDefault="008A77ED">
      <w:pPr>
        <w:jc w:val="center"/>
      </w:pPr>
      <w:r>
        <w:rPr>
          <w:i/>
          <w:sz w:val="16"/>
        </w:rPr>
        <w:t>Figure 1. Risk-Elastic Settlement Fabric (author-developed concept). Visual generated with Microsoft Copilot.</w:t>
      </w:r>
    </w:p>
    <w:p w14:paraId="70070E59" w14:textId="77777777" w:rsidR="00014C2F" w:rsidRDefault="008A77ED">
      <w:pPr>
        <w:pStyle w:val="Heading2"/>
      </w:pPr>
      <w:r>
        <w:t>4.2 Why the three technologies are inseparable</w:t>
      </w:r>
    </w:p>
    <w:tbl>
      <w:tblPr>
        <w:tblStyle w:val="TableGrid"/>
        <w:tblW w:w="0" w:type="auto"/>
        <w:jc w:val="center"/>
        <w:tblLook w:val="04A0" w:firstRow="1" w:lastRow="0" w:firstColumn="1" w:lastColumn="0" w:noHBand="0" w:noVBand="1"/>
      </w:tblPr>
      <w:tblGrid>
        <w:gridCol w:w="1872"/>
        <w:gridCol w:w="4896"/>
        <w:gridCol w:w="2448"/>
      </w:tblGrid>
      <w:tr w:rsidR="00014C2F" w14:paraId="75E60E0D" w14:textId="77777777">
        <w:trPr>
          <w:tblHeader/>
          <w:jc w:val="center"/>
        </w:trPr>
        <w:tc>
          <w:tcPr>
            <w:tcW w:w="1872" w:type="dxa"/>
            <w:shd w:val="clear" w:color="auto" w:fill="12304A"/>
            <w:tcMar>
              <w:top w:w="100" w:type="dxa"/>
              <w:left w:w="120" w:type="dxa"/>
              <w:bottom w:w="100" w:type="dxa"/>
              <w:right w:w="120" w:type="dxa"/>
            </w:tcMar>
            <w:vAlign w:val="center"/>
          </w:tcPr>
          <w:p w14:paraId="6D29746B" w14:textId="77777777" w:rsidR="00014C2F" w:rsidRDefault="008A77ED">
            <w:pPr>
              <w:jc w:val="center"/>
            </w:pPr>
            <w:r>
              <w:rPr>
                <w:b/>
                <w:color w:val="FFFFFF"/>
                <w:sz w:val="18"/>
              </w:rPr>
              <w:t>If removed</w:t>
            </w:r>
          </w:p>
        </w:tc>
        <w:tc>
          <w:tcPr>
            <w:tcW w:w="4896" w:type="dxa"/>
            <w:shd w:val="clear" w:color="auto" w:fill="12304A"/>
            <w:tcMar>
              <w:top w:w="100" w:type="dxa"/>
              <w:left w:w="120" w:type="dxa"/>
              <w:bottom w:w="100" w:type="dxa"/>
              <w:right w:w="120" w:type="dxa"/>
            </w:tcMar>
            <w:vAlign w:val="center"/>
          </w:tcPr>
          <w:p w14:paraId="022D767A" w14:textId="77777777" w:rsidR="00014C2F" w:rsidRDefault="008A77ED">
            <w:pPr>
              <w:jc w:val="center"/>
            </w:pPr>
            <w:r>
              <w:rPr>
                <w:b/>
                <w:color w:val="FFFFFF"/>
                <w:sz w:val="18"/>
              </w:rPr>
              <w:t>What breaks</w:t>
            </w:r>
          </w:p>
        </w:tc>
        <w:tc>
          <w:tcPr>
            <w:tcW w:w="2448" w:type="dxa"/>
            <w:shd w:val="clear" w:color="auto" w:fill="12304A"/>
            <w:tcMar>
              <w:top w:w="100" w:type="dxa"/>
              <w:left w:w="120" w:type="dxa"/>
              <w:bottom w:w="100" w:type="dxa"/>
              <w:right w:w="120" w:type="dxa"/>
            </w:tcMar>
            <w:vAlign w:val="center"/>
          </w:tcPr>
          <w:p w14:paraId="1C181D25" w14:textId="77777777" w:rsidR="00014C2F" w:rsidRDefault="008A77ED">
            <w:pPr>
              <w:jc w:val="center"/>
            </w:pPr>
            <w:r>
              <w:rPr>
                <w:b/>
                <w:color w:val="FFFFFF"/>
                <w:sz w:val="18"/>
              </w:rPr>
              <w:t>Result</w:t>
            </w:r>
          </w:p>
        </w:tc>
      </w:tr>
      <w:tr w:rsidR="00014C2F" w14:paraId="07875EA5" w14:textId="77777777">
        <w:trPr>
          <w:jc w:val="center"/>
        </w:trPr>
        <w:tc>
          <w:tcPr>
            <w:tcW w:w="1872" w:type="dxa"/>
            <w:tcMar>
              <w:top w:w="100" w:type="dxa"/>
              <w:left w:w="120" w:type="dxa"/>
              <w:bottom w:w="100" w:type="dxa"/>
              <w:right w:w="120" w:type="dxa"/>
            </w:tcMar>
            <w:vAlign w:val="center"/>
          </w:tcPr>
          <w:p w14:paraId="33B789C7" w14:textId="77777777" w:rsidR="00014C2F" w:rsidRDefault="008A77ED">
            <w:r>
              <w:rPr>
                <w:sz w:val="16"/>
              </w:rPr>
              <w:t>Verifiable credentials</w:t>
            </w:r>
          </w:p>
        </w:tc>
        <w:tc>
          <w:tcPr>
            <w:tcW w:w="4896" w:type="dxa"/>
            <w:tcMar>
              <w:top w:w="100" w:type="dxa"/>
              <w:left w:w="120" w:type="dxa"/>
              <w:bottom w:w="100" w:type="dxa"/>
              <w:right w:w="120" w:type="dxa"/>
            </w:tcMar>
            <w:vAlign w:val="center"/>
          </w:tcPr>
          <w:p w14:paraId="1EE9C28B" w14:textId="77777777" w:rsidR="00014C2F" w:rsidRDefault="008A77ED">
            <w:r>
              <w:rPr>
                <w:sz w:val="16"/>
              </w:rPr>
              <w:t>The system cannot distinguish independent evidence from merchant assertion or stale copied data.</w:t>
            </w:r>
          </w:p>
        </w:tc>
        <w:tc>
          <w:tcPr>
            <w:tcW w:w="2448" w:type="dxa"/>
            <w:tcMar>
              <w:top w:w="100" w:type="dxa"/>
              <w:left w:w="120" w:type="dxa"/>
              <w:bottom w:w="100" w:type="dxa"/>
              <w:right w:w="120" w:type="dxa"/>
            </w:tcMar>
            <w:vAlign w:val="center"/>
          </w:tcPr>
          <w:p w14:paraId="1708CA10" w14:textId="77777777" w:rsidR="00014C2F" w:rsidRDefault="008A77ED">
            <w:r>
              <w:rPr>
                <w:sz w:val="16"/>
              </w:rPr>
              <w:t>Release decisions are not defensible; RESF collapses into opaque scoring.</w:t>
            </w:r>
          </w:p>
        </w:tc>
      </w:tr>
      <w:tr w:rsidR="00014C2F" w14:paraId="30FD6ADD" w14:textId="77777777">
        <w:trPr>
          <w:jc w:val="center"/>
        </w:trPr>
        <w:tc>
          <w:tcPr>
            <w:tcW w:w="1872" w:type="dxa"/>
            <w:shd w:val="clear" w:color="auto" w:fill="F4F7F8"/>
            <w:tcMar>
              <w:top w:w="100" w:type="dxa"/>
              <w:left w:w="120" w:type="dxa"/>
              <w:bottom w:w="100" w:type="dxa"/>
              <w:right w:w="120" w:type="dxa"/>
            </w:tcMar>
            <w:vAlign w:val="center"/>
          </w:tcPr>
          <w:p w14:paraId="200BDB95" w14:textId="77777777" w:rsidR="00014C2F" w:rsidRDefault="008A77ED">
            <w:r>
              <w:rPr>
                <w:sz w:val="16"/>
              </w:rPr>
              <w:t>Confidential graph intelligence</w:t>
            </w:r>
          </w:p>
        </w:tc>
        <w:tc>
          <w:tcPr>
            <w:tcW w:w="4896" w:type="dxa"/>
            <w:shd w:val="clear" w:color="auto" w:fill="F4F7F8"/>
            <w:tcMar>
              <w:top w:w="100" w:type="dxa"/>
              <w:left w:w="120" w:type="dxa"/>
              <w:bottom w:w="100" w:type="dxa"/>
              <w:right w:w="120" w:type="dxa"/>
            </w:tcMar>
            <w:vAlign w:val="center"/>
          </w:tcPr>
          <w:p w14:paraId="3B4CA051" w14:textId="77777777" w:rsidR="00014C2F" w:rsidRDefault="008A77ED">
            <w:r>
              <w:rPr>
                <w:sz w:val="16"/>
              </w:rPr>
              <w:t>Each acquirer sees only its own history and misses connected cross-network exposure.</w:t>
            </w:r>
          </w:p>
        </w:tc>
        <w:tc>
          <w:tcPr>
            <w:tcW w:w="2448" w:type="dxa"/>
            <w:shd w:val="clear" w:color="auto" w:fill="F4F7F8"/>
            <w:tcMar>
              <w:top w:w="100" w:type="dxa"/>
              <w:left w:w="120" w:type="dxa"/>
              <w:bottom w:w="100" w:type="dxa"/>
              <w:right w:w="120" w:type="dxa"/>
            </w:tcMar>
            <w:vAlign w:val="center"/>
          </w:tcPr>
          <w:p w14:paraId="7C7ABE25" w14:textId="77777777" w:rsidR="00014C2F" w:rsidRDefault="008A77ED">
            <w:r>
              <w:rPr>
                <w:sz w:val="16"/>
              </w:rPr>
              <w:t>The safe tranche is systematically overconfident or excessively conservative.</w:t>
            </w:r>
          </w:p>
        </w:tc>
      </w:tr>
      <w:tr w:rsidR="00014C2F" w14:paraId="1BAD64E5" w14:textId="77777777">
        <w:trPr>
          <w:jc w:val="center"/>
        </w:trPr>
        <w:tc>
          <w:tcPr>
            <w:tcW w:w="1872" w:type="dxa"/>
            <w:tcMar>
              <w:top w:w="100" w:type="dxa"/>
              <w:left w:w="120" w:type="dxa"/>
              <w:bottom w:w="100" w:type="dxa"/>
              <w:right w:w="120" w:type="dxa"/>
            </w:tcMar>
            <w:vAlign w:val="center"/>
          </w:tcPr>
          <w:p w14:paraId="3848E269" w14:textId="77777777" w:rsidR="00014C2F" w:rsidRDefault="008A77ED">
            <w:r>
              <w:rPr>
                <w:sz w:val="16"/>
              </w:rPr>
              <w:t>Programmable settlement</w:t>
            </w:r>
          </w:p>
        </w:tc>
        <w:tc>
          <w:tcPr>
            <w:tcW w:w="4896" w:type="dxa"/>
            <w:tcMar>
              <w:top w:w="100" w:type="dxa"/>
              <w:left w:w="120" w:type="dxa"/>
              <w:bottom w:w="100" w:type="dxa"/>
              <w:right w:w="120" w:type="dxa"/>
            </w:tcMar>
            <w:vAlign w:val="center"/>
          </w:tcPr>
          <w:p w14:paraId="7F298DB6" w14:textId="77777777" w:rsidR="00014C2F" w:rsidRDefault="008A77ED">
            <w:r>
              <w:rPr>
                <w:sz w:val="16"/>
              </w:rPr>
              <w:t>Risk is detected but cannot alter how much cash is released or retained.</w:t>
            </w:r>
          </w:p>
        </w:tc>
        <w:tc>
          <w:tcPr>
            <w:tcW w:w="2448" w:type="dxa"/>
            <w:tcMar>
              <w:top w:w="100" w:type="dxa"/>
              <w:left w:w="120" w:type="dxa"/>
              <w:bottom w:w="100" w:type="dxa"/>
              <w:right w:w="120" w:type="dxa"/>
            </w:tcMar>
            <w:vAlign w:val="center"/>
          </w:tcPr>
          <w:p w14:paraId="394CC301" w14:textId="77777777" w:rsidR="00014C2F" w:rsidRDefault="008A77ED">
            <w:r>
              <w:rPr>
                <w:sz w:val="16"/>
              </w:rPr>
              <w:t>RESF becomes a monitoring dashboard, not a settlement model.</w:t>
            </w:r>
          </w:p>
        </w:tc>
      </w:tr>
    </w:tbl>
    <w:p w14:paraId="41C8F396" w14:textId="77777777" w:rsidR="00014C2F" w:rsidRDefault="00014C2F">
      <w:pPr>
        <w:spacing w:after="40"/>
      </w:pPr>
    </w:p>
    <w:tbl>
      <w:tblPr>
        <w:tblStyle w:val="TableGrid"/>
        <w:tblW w:w="0" w:type="auto"/>
        <w:jc w:val="center"/>
        <w:tblLook w:val="04A0" w:firstRow="1" w:lastRow="0" w:firstColumn="1" w:lastColumn="0" w:noHBand="0" w:noVBand="1"/>
      </w:tblPr>
      <w:tblGrid>
        <w:gridCol w:w="2088"/>
        <w:gridCol w:w="3600"/>
        <w:gridCol w:w="3528"/>
      </w:tblGrid>
      <w:tr w:rsidR="00014C2F" w14:paraId="45DD0CB4" w14:textId="77777777">
        <w:trPr>
          <w:tblHeader/>
          <w:jc w:val="center"/>
        </w:trPr>
        <w:tc>
          <w:tcPr>
            <w:tcW w:w="2088" w:type="dxa"/>
            <w:shd w:val="clear" w:color="auto" w:fill="12304A"/>
            <w:tcMar>
              <w:top w:w="100" w:type="dxa"/>
              <w:left w:w="120" w:type="dxa"/>
              <w:bottom w:w="100" w:type="dxa"/>
              <w:right w:w="120" w:type="dxa"/>
            </w:tcMar>
            <w:vAlign w:val="center"/>
          </w:tcPr>
          <w:p w14:paraId="13178DC4" w14:textId="77777777" w:rsidR="00014C2F" w:rsidRDefault="008A77ED">
            <w:pPr>
              <w:jc w:val="center"/>
            </w:pPr>
            <w:r>
              <w:rPr>
                <w:b/>
                <w:color w:val="FFFFFF"/>
                <w:sz w:val="18"/>
              </w:rPr>
              <w:t>Architecture layer</w:t>
            </w:r>
          </w:p>
        </w:tc>
        <w:tc>
          <w:tcPr>
            <w:tcW w:w="3600" w:type="dxa"/>
            <w:shd w:val="clear" w:color="auto" w:fill="12304A"/>
            <w:tcMar>
              <w:top w:w="100" w:type="dxa"/>
              <w:left w:w="120" w:type="dxa"/>
              <w:bottom w:w="100" w:type="dxa"/>
              <w:right w:w="120" w:type="dxa"/>
            </w:tcMar>
            <w:vAlign w:val="center"/>
          </w:tcPr>
          <w:p w14:paraId="28EB25BC" w14:textId="77777777" w:rsidR="00014C2F" w:rsidRDefault="008A77ED">
            <w:pPr>
              <w:jc w:val="center"/>
            </w:pPr>
            <w:r>
              <w:rPr>
                <w:b/>
                <w:color w:val="FFFFFF"/>
                <w:sz w:val="18"/>
              </w:rPr>
              <w:t>For the merchant / customer</w:t>
            </w:r>
          </w:p>
        </w:tc>
        <w:tc>
          <w:tcPr>
            <w:tcW w:w="3528" w:type="dxa"/>
            <w:shd w:val="clear" w:color="auto" w:fill="12304A"/>
            <w:tcMar>
              <w:top w:w="100" w:type="dxa"/>
              <w:left w:w="120" w:type="dxa"/>
              <w:bottom w:w="100" w:type="dxa"/>
              <w:right w:w="120" w:type="dxa"/>
            </w:tcMar>
            <w:vAlign w:val="center"/>
          </w:tcPr>
          <w:p w14:paraId="1808C2AD" w14:textId="77777777" w:rsidR="00014C2F" w:rsidRDefault="008A77ED">
            <w:pPr>
              <w:jc w:val="center"/>
            </w:pPr>
            <w:r>
              <w:rPr>
                <w:b/>
                <w:color w:val="FFFFFF"/>
                <w:sz w:val="18"/>
              </w:rPr>
              <w:t>For the organisation</w:t>
            </w:r>
          </w:p>
        </w:tc>
      </w:tr>
      <w:tr w:rsidR="00014C2F" w14:paraId="37DFAF70" w14:textId="77777777">
        <w:trPr>
          <w:jc w:val="center"/>
        </w:trPr>
        <w:tc>
          <w:tcPr>
            <w:tcW w:w="2088" w:type="dxa"/>
            <w:tcMar>
              <w:top w:w="100" w:type="dxa"/>
              <w:left w:w="120" w:type="dxa"/>
              <w:bottom w:w="100" w:type="dxa"/>
              <w:right w:w="120" w:type="dxa"/>
            </w:tcMar>
            <w:vAlign w:val="center"/>
          </w:tcPr>
          <w:p w14:paraId="6DEFD2C1" w14:textId="77777777" w:rsidR="00014C2F" w:rsidRDefault="008A77ED">
            <w:r>
              <w:rPr>
                <w:sz w:val="16"/>
              </w:rPr>
              <w:t>Evidence layer</w:t>
            </w:r>
          </w:p>
        </w:tc>
        <w:tc>
          <w:tcPr>
            <w:tcW w:w="3600" w:type="dxa"/>
            <w:tcMar>
              <w:top w:w="100" w:type="dxa"/>
              <w:left w:w="120" w:type="dxa"/>
              <w:bottom w:w="100" w:type="dxa"/>
              <w:right w:w="120" w:type="dxa"/>
            </w:tcMar>
            <w:vAlign w:val="center"/>
          </w:tcPr>
          <w:p w14:paraId="0A6FD5E8" w14:textId="77777777" w:rsidR="00014C2F" w:rsidRDefault="008A77ED">
            <w:r>
              <w:rPr>
                <w:sz w:val="16"/>
              </w:rPr>
              <w:t>Faster recognition of valid identity, account and fulfilment events.</w:t>
            </w:r>
          </w:p>
        </w:tc>
        <w:tc>
          <w:tcPr>
            <w:tcW w:w="3528" w:type="dxa"/>
            <w:tcMar>
              <w:top w:w="100" w:type="dxa"/>
              <w:left w:w="120" w:type="dxa"/>
              <w:bottom w:w="100" w:type="dxa"/>
              <w:right w:w="120" w:type="dxa"/>
            </w:tcMar>
            <w:vAlign w:val="center"/>
          </w:tcPr>
          <w:p w14:paraId="33649821" w14:textId="77777777" w:rsidR="00014C2F" w:rsidRDefault="008A77ED">
            <w:r>
              <w:rPr>
                <w:sz w:val="16"/>
              </w:rPr>
              <w:t>Traceable inputs with issuer, expiry and revocation status.</w:t>
            </w:r>
          </w:p>
        </w:tc>
      </w:tr>
      <w:tr w:rsidR="00014C2F" w14:paraId="265E605D" w14:textId="77777777">
        <w:trPr>
          <w:jc w:val="center"/>
        </w:trPr>
        <w:tc>
          <w:tcPr>
            <w:tcW w:w="2088" w:type="dxa"/>
            <w:shd w:val="clear" w:color="auto" w:fill="F4F7F8"/>
            <w:tcMar>
              <w:top w:w="100" w:type="dxa"/>
              <w:left w:w="120" w:type="dxa"/>
              <w:bottom w:w="100" w:type="dxa"/>
              <w:right w:w="120" w:type="dxa"/>
            </w:tcMar>
            <w:vAlign w:val="center"/>
          </w:tcPr>
          <w:p w14:paraId="68D62FC7" w14:textId="77777777" w:rsidR="00014C2F" w:rsidRDefault="008A77ED">
            <w:r>
              <w:rPr>
                <w:sz w:val="16"/>
              </w:rPr>
              <w:t>Intelligence layer</w:t>
            </w:r>
          </w:p>
        </w:tc>
        <w:tc>
          <w:tcPr>
            <w:tcW w:w="3600" w:type="dxa"/>
            <w:shd w:val="clear" w:color="auto" w:fill="F4F7F8"/>
            <w:tcMar>
              <w:top w:w="100" w:type="dxa"/>
              <w:left w:w="120" w:type="dxa"/>
              <w:bottom w:w="100" w:type="dxa"/>
              <w:right w:w="120" w:type="dxa"/>
            </w:tcMar>
            <w:vAlign w:val="center"/>
          </w:tcPr>
          <w:p w14:paraId="3FF901E1" w14:textId="77777777" w:rsidR="00014C2F" w:rsidRDefault="008A77ED">
            <w:r>
              <w:rPr>
                <w:sz w:val="16"/>
              </w:rPr>
              <w:t>Potentially fewer blanket reserves for merchants with credible evidence.</w:t>
            </w:r>
          </w:p>
        </w:tc>
        <w:tc>
          <w:tcPr>
            <w:tcW w:w="3528" w:type="dxa"/>
            <w:shd w:val="clear" w:color="auto" w:fill="F4F7F8"/>
            <w:tcMar>
              <w:top w:w="100" w:type="dxa"/>
              <w:left w:w="120" w:type="dxa"/>
              <w:bottom w:w="100" w:type="dxa"/>
              <w:right w:w="120" w:type="dxa"/>
            </w:tcMar>
            <w:vAlign w:val="center"/>
          </w:tcPr>
          <w:p w14:paraId="09487525" w14:textId="77777777" w:rsidR="00014C2F" w:rsidRDefault="008A77ED">
            <w:r>
              <w:rPr>
                <w:sz w:val="16"/>
              </w:rPr>
              <w:t>Cross-network exposure signals without a raw-data pool.</w:t>
            </w:r>
          </w:p>
        </w:tc>
      </w:tr>
      <w:tr w:rsidR="00014C2F" w14:paraId="584EDED9" w14:textId="77777777">
        <w:trPr>
          <w:jc w:val="center"/>
        </w:trPr>
        <w:tc>
          <w:tcPr>
            <w:tcW w:w="2088" w:type="dxa"/>
            <w:tcMar>
              <w:top w:w="100" w:type="dxa"/>
              <w:left w:w="120" w:type="dxa"/>
              <w:bottom w:w="100" w:type="dxa"/>
              <w:right w:w="120" w:type="dxa"/>
            </w:tcMar>
            <w:vAlign w:val="center"/>
          </w:tcPr>
          <w:p w14:paraId="4DBFD61F" w14:textId="77777777" w:rsidR="00014C2F" w:rsidRDefault="008A77ED">
            <w:r>
              <w:rPr>
                <w:sz w:val="16"/>
              </w:rPr>
              <w:t>Settlement layer</w:t>
            </w:r>
          </w:p>
        </w:tc>
        <w:tc>
          <w:tcPr>
            <w:tcW w:w="3600" w:type="dxa"/>
            <w:tcMar>
              <w:top w:w="100" w:type="dxa"/>
              <w:left w:w="120" w:type="dxa"/>
              <w:bottom w:w="100" w:type="dxa"/>
              <w:right w:w="120" w:type="dxa"/>
            </w:tcMar>
            <w:vAlign w:val="center"/>
          </w:tcPr>
          <w:p w14:paraId="54E240A0" w14:textId="77777777" w:rsidR="00014C2F" w:rsidRDefault="008A77ED">
            <w:r>
              <w:rPr>
                <w:sz w:val="16"/>
              </w:rPr>
              <w:t>Immediate access to the safe portion; visible conditions for the remainder.</w:t>
            </w:r>
          </w:p>
        </w:tc>
        <w:tc>
          <w:tcPr>
            <w:tcW w:w="3528" w:type="dxa"/>
            <w:tcMar>
              <w:top w:w="100" w:type="dxa"/>
              <w:left w:w="120" w:type="dxa"/>
              <w:bottom w:w="100" w:type="dxa"/>
              <w:right w:w="120" w:type="dxa"/>
            </w:tcMar>
            <w:vAlign w:val="center"/>
          </w:tcPr>
          <w:p w14:paraId="1719BF61" w14:textId="77777777" w:rsidR="00014C2F" w:rsidRDefault="008A77ED">
            <w:r>
              <w:rPr>
                <w:sz w:val="16"/>
              </w:rPr>
              <w:t>Cash release aligned to quantified exposure and policy caps.</w:t>
            </w:r>
          </w:p>
        </w:tc>
      </w:tr>
      <w:tr w:rsidR="00014C2F" w14:paraId="16DE65BF" w14:textId="77777777">
        <w:trPr>
          <w:jc w:val="center"/>
        </w:trPr>
        <w:tc>
          <w:tcPr>
            <w:tcW w:w="2088" w:type="dxa"/>
            <w:shd w:val="clear" w:color="auto" w:fill="F4F7F8"/>
            <w:tcMar>
              <w:top w:w="100" w:type="dxa"/>
              <w:left w:w="120" w:type="dxa"/>
              <w:bottom w:w="100" w:type="dxa"/>
              <w:right w:w="120" w:type="dxa"/>
            </w:tcMar>
            <w:vAlign w:val="center"/>
          </w:tcPr>
          <w:p w14:paraId="2C1E1141" w14:textId="77777777" w:rsidR="00014C2F" w:rsidRDefault="008A77ED">
            <w:r>
              <w:rPr>
                <w:sz w:val="16"/>
              </w:rPr>
              <w:t>Human governance layer</w:t>
            </w:r>
          </w:p>
        </w:tc>
        <w:tc>
          <w:tcPr>
            <w:tcW w:w="3600" w:type="dxa"/>
            <w:shd w:val="clear" w:color="auto" w:fill="F4F7F8"/>
            <w:tcMar>
              <w:top w:w="100" w:type="dxa"/>
              <w:left w:w="120" w:type="dxa"/>
              <w:bottom w:w="100" w:type="dxa"/>
              <w:right w:w="120" w:type="dxa"/>
            </w:tcMar>
            <w:vAlign w:val="center"/>
          </w:tcPr>
          <w:p w14:paraId="39EB4756" w14:textId="77777777" w:rsidR="00014C2F" w:rsidRDefault="008A77ED">
            <w:r>
              <w:rPr>
                <w:sz w:val="16"/>
              </w:rPr>
              <w:t>Reason, appeal, review deadline and escalation route.</w:t>
            </w:r>
          </w:p>
        </w:tc>
        <w:tc>
          <w:tcPr>
            <w:tcW w:w="3528" w:type="dxa"/>
            <w:shd w:val="clear" w:color="auto" w:fill="F4F7F8"/>
            <w:tcMar>
              <w:top w:w="100" w:type="dxa"/>
              <w:left w:w="120" w:type="dxa"/>
              <w:bottom w:w="100" w:type="dxa"/>
              <w:right w:w="120" w:type="dxa"/>
            </w:tcMar>
            <w:vAlign w:val="center"/>
          </w:tcPr>
          <w:p w14:paraId="26AD43E8" w14:textId="77777777" w:rsidR="00014C2F" w:rsidRDefault="008A77ED">
            <w:r>
              <w:rPr>
                <w:sz w:val="16"/>
              </w:rPr>
              <w:t>Named accountable executive, immutable audit, override and kill switch.</w:t>
            </w:r>
          </w:p>
        </w:tc>
      </w:tr>
    </w:tbl>
    <w:p w14:paraId="72A3D3EC" w14:textId="77777777" w:rsidR="00014C2F" w:rsidRDefault="00014C2F">
      <w:pPr>
        <w:spacing w:after="40"/>
      </w:pPr>
    </w:p>
    <w:p w14:paraId="372289EF" w14:textId="77777777" w:rsidR="00014C2F" w:rsidRDefault="008A77ED">
      <w:pPr>
        <w:pStyle w:val="Heading2"/>
      </w:pPr>
      <w:r>
        <w:lastRenderedPageBreak/>
        <w:t>4.3 Governance and decision rights</w:t>
      </w:r>
    </w:p>
    <w:tbl>
      <w:tblPr>
        <w:tblW w:w="0" w:type="auto"/>
        <w:jc w:val="center"/>
        <w:tblLook w:val="04A0" w:firstRow="1" w:lastRow="0" w:firstColumn="1" w:lastColumn="0" w:noHBand="0" w:noVBand="1"/>
      </w:tblPr>
      <w:tblGrid>
        <w:gridCol w:w="9936"/>
      </w:tblGrid>
      <w:tr w:rsidR="00014C2F" w14:paraId="44A62CA3" w14:textId="77777777">
        <w:trPr>
          <w:jc w:val="center"/>
        </w:trPr>
        <w:tc>
          <w:tcPr>
            <w:tcW w:w="9936" w:type="dxa"/>
            <w:shd w:val="clear" w:color="auto" w:fill="EAF3F5"/>
            <w:tcMar>
              <w:top w:w="160" w:type="dxa"/>
              <w:left w:w="180" w:type="dxa"/>
              <w:bottom w:w="160" w:type="dxa"/>
              <w:right w:w="180" w:type="dxa"/>
            </w:tcMar>
          </w:tcPr>
          <w:p w14:paraId="0AD89F28" w14:textId="77777777" w:rsidR="00014C2F" w:rsidRDefault="008A77ED">
            <w:r>
              <w:rPr>
                <w:b/>
                <w:color w:val="007C83"/>
                <w:sz w:val="22"/>
              </w:rPr>
              <w:t xml:space="preserve">No unexplained withholding.  </w:t>
            </w:r>
            <w:r>
              <w:t>Every restriction must return a reason category, evidence provenance, review date and appeal route. If the system cannot explain a hold, it cannot impose it.</w:t>
            </w:r>
          </w:p>
        </w:tc>
      </w:tr>
    </w:tbl>
    <w:p w14:paraId="0D0B940D" w14:textId="77777777" w:rsidR="00014C2F" w:rsidRDefault="00014C2F">
      <w:pPr>
        <w:spacing w:after="20"/>
      </w:pPr>
    </w:p>
    <w:tbl>
      <w:tblPr>
        <w:tblW w:w="0" w:type="auto"/>
        <w:jc w:val="center"/>
        <w:tblLook w:val="04A0" w:firstRow="1" w:lastRow="0" w:firstColumn="1" w:lastColumn="0" w:noHBand="0" w:noVBand="1"/>
      </w:tblPr>
      <w:tblGrid>
        <w:gridCol w:w="9936"/>
      </w:tblGrid>
      <w:tr w:rsidR="00014C2F" w14:paraId="2B15C450" w14:textId="77777777">
        <w:trPr>
          <w:jc w:val="center"/>
        </w:trPr>
        <w:tc>
          <w:tcPr>
            <w:tcW w:w="9936" w:type="dxa"/>
            <w:shd w:val="clear" w:color="auto" w:fill="EAF3F5"/>
            <w:tcMar>
              <w:top w:w="160" w:type="dxa"/>
              <w:left w:w="180" w:type="dxa"/>
              <w:bottom w:w="160" w:type="dxa"/>
              <w:right w:w="180" w:type="dxa"/>
            </w:tcMar>
          </w:tcPr>
          <w:p w14:paraId="31FEF032" w14:textId="77777777" w:rsidR="00014C2F" w:rsidRDefault="008A77ED">
            <w:r>
              <w:rPr>
                <w:b/>
                <w:color w:val="007C83"/>
                <w:sz w:val="22"/>
              </w:rPr>
              <w:t xml:space="preserve">No unbounded automation.  </w:t>
            </w:r>
            <w:r>
              <w:t>Exposure caps, maximum hold periods and portfolio concentration limits are enforced in the orchestration layer; a model cannot override them.</w:t>
            </w:r>
          </w:p>
        </w:tc>
      </w:tr>
    </w:tbl>
    <w:p w14:paraId="0E27B00A" w14:textId="77777777" w:rsidR="00014C2F" w:rsidRDefault="00014C2F">
      <w:pPr>
        <w:spacing w:after="20"/>
      </w:pPr>
    </w:p>
    <w:tbl>
      <w:tblPr>
        <w:tblW w:w="0" w:type="auto"/>
        <w:jc w:val="center"/>
        <w:tblLook w:val="04A0" w:firstRow="1" w:lastRow="0" w:firstColumn="1" w:lastColumn="0" w:noHBand="0" w:noVBand="1"/>
      </w:tblPr>
      <w:tblGrid>
        <w:gridCol w:w="9936"/>
      </w:tblGrid>
      <w:tr w:rsidR="00014C2F" w14:paraId="703A61B7" w14:textId="77777777">
        <w:trPr>
          <w:jc w:val="center"/>
        </w:trPr>
        <w:tc>
          <w:tcPr>
            <w:tcW w:w="9936" w:type="dxa"/>
            <w:shd w:val="clear" w:color="auto" w:fill="EAF3F5"/>
            <w:tcMar>
              <w:top w:w="160" w:type="dxa"/>
              <w:left w:w="180" w:type="dxa"/>
              <w:bottom w:w="160" w:type="dxa"/>
              <w:right w:w="180" w:type="dxa"/>
            </w:tcMar>
          </w:tcPr>
          <w:p w14:paraId="0745E45C" w14:textId="77777777" w:rsidR="00014C2F" w:rsidRDefault="008A77ED">
            <w:r>
              <w:rPr>
                <w:b/>
                <w:color w:val="007C83"/>
                <w:sz w:val="22"/>
              </w:rPr>
              <w:t xml:space="preserve">One accountable settlement principal.  </w:t>
            </w:r>
            <w:r>
              <w:t>A named regulated entity owns the outcome even when credentials, cloud infrastructure or models are supplied by others. The audit log records which actor and rule contributed to each decision.</w:t>
            </w:r>
          </w:p>
        </w:tc>
      </w:tr>
    </w:tbl>
    <w:p w14:paraId="60061E4C" w14:textId="77777777" w:rsidR="00014C2F" w:rsidRDefault="00014C2F">
      <w:pPr>
        <w:spacing w:after="20"/>
      </w:pPr>
    </w:p>
    <w:p w14:paraId="4C789BAD" w14:textId="77777777" w:rsidR="00014C2F" w:rsidRDefault="008A77ED">
      <w:pPr>
        <w:pStyle w:val="Heading1"/>
      </w:pPr>
      <w:r>
        <w:t>5. The Failure Modes: What Could Go Wrong and Probably Will</w:t>
      </w:r>
    </w:p>
    <w:p w14:paraId="3E4A1C12" w14:textId="77777777" w:rsidR="00014C2F" w:rsidRDefault="008A77ED">
      <w:pPr>
        <w:spacing w:after="120" w:line="259" w:lineRule="auto"/>
      </w:pPr>
      <w:r>
        <w:t>The risks below are ordered by how badly a typical organisation would handle them, not simply by probability. Each defence is intentionally paired with its limit.</w:t>
      </w:r>
    </w:p>
    <w:p w14:paraId="32B3CFF1" w14:textId="77777777" w:rsidR="00014C2F" w:rsidRDefault="008A77ED">
      <w:pPr>
        <w:pStyle w:val="Heading2"/>
      </w:pPr>
      <w:r>
        <w:t>5.1 The model becomes a sophisticated way to ration small-business liquidity</w:t>
      </w:r>
    </w:p>
    <w:p w14:paraId="3E32F627" w14:textId="77777777" w:rsidR="00014C2F" w:rsidRDefault="008A77ED">
      <w:pPr>
        <w:spacing w:after="120" w:line="259" w:lineRule="auto"/>
      </w:pPr>
      <w:r>
        <w:t>RESF can harm the merchants it claims to help. Thin-file, seasonal or rapidly growing businesses may lack recognised credentials and stable histories. Graph models may treat novelty as danger. A higher residual reserve then delays payroll, inventory and supplier payments, creating the very distress the system predicts. Because the decision is transaction-level and continuous, the merchant may never experience a dramatic refusal—only a persistent drag on working capital.</w:t>
      </w:r>
    </w:p>
    <w:p w14:paraId="7610D525" w14:textId="77777777" w:rsidR="00014C2F" w:rsidRDefault="008A77ED">
      <w:pPr>
        <w:spacing w:after="120" w:line="259" w:lineRule="auto"/>
      </w:pPr>
      <w:r>
        <w:t>Defence. The defence is a merchant-liquidity floor, cohort-based fairness testing, maximum hold durations, explicit reason codes and a human appeal service with authority to release funds. The pilot should compare false holds and cash-access outcomes across comparable merchant cohorts, not only total losses.</w:t>
      </w:r>
    </w:p>
    <w:p w14:paraId="61B6E874" w14:textId="77777777" w:rsidR="00014C2F" w:rsidRDefault="008A77ED">
      <w:pPr>
        <w:spacing w:after="120" w:line="259" w:lineRule="auto"/>
      </w:pPr>
      <w:r>
        <w:t>Limit. The defence remains incomplete because risk and fairness are not always jointly optimisable. A protected cohort can be imitated by fraudsters, while a liquidity floor deliberately increases exposure. The accountable executive must own that trade-off rather than hiding it inside a model threshold.</w:t>
      </w:r>
    </w:p>
    <w:p w14:paraId="64876EBB" w14:textId="77777777" w:rsidR="00014C2F" w:rsidRDefault="008A77ED">
      <w:pPr>
        <w:pStyle w:val="Heading2"/>
      </w:pPr>
      <w:r>
        <w:t>5.2 Accountability dissolves across the technology chain</w:t>
      </w:r>
    </w:p>
    <w:p w14:paraId="564D9DA2" w14:textId="77777777" w:rsidR="00014C2F" w:rsidRDefault="008A77ED">
      <w:pPr>
        <w:spacing w:after="120" w:line="259" w:lineRule="auto"/>
      </w:pPr>
      <w:r>
        <w:t>A harmful decision can involve a credential issuer, an analytics consortium, a model vendor, a cloud attestation service, the acquirer’s policy engine and the payout bank. When a legitimate merchant is deprived of cash—or an invalid merchant is overpaid—each actor can argue that its component behaved as specified. Legal contracts may allocate cost, but they do not give the merchant a coherent explanation.</w:t>
      </w:r>
    </w:p>
    <w:p w14:paraId="177DB705" w14:textId="77777777" w:rsidR="00014C2F" w:rsidRDefault="008A77ED">
      <w:pPr>
        <w:spacing w:after="120" w:line="259" w:lineRule="auto"/>
      </w:pPr>
      <w:r>
        <w:t>Defence. RESF therefore designates one settlement principal accountable for the end-to-end decision. Supplier contracts include evidence quality, incident notification and audit duties; the decision log preserves data provenance, model version, rule and human override. A liability waterfall is agreed before live use.</w:t>
      </w:r>
    </w:p>
    <w:p w14:paraId="0B99E55F" w14:textId="77777777" w:rsidR="00014C2F" w:rsidRDefault="008A77ED">
      <w:pPr>
        <w:spacing w:after="120" w:line="259" w:lineRule="auto"/>
      </w:pPr>
      <w:r>
        <w:t>Limit. This does not remove regulatory, legal or reputational ambiguity across jurisdictions. The accountable principal may still be unable to recover losses from a failed supplier, and an audit trail can reveal responsibility only after harm has occurred.</w:t>
      </w:r>
    </w:p>
    <w:p w14:paraId="3900073F" w14:textId="77777777" w:rsidR="00014C2F" w:rsidRDefault="008A77ED">
      <w:pPr>
        <w:pStyle w:val="Heading2"/>
      </w:pPr>
      <w:r>
        <w:lastRenderedPageBreak/>
        <w:t>5.3 A trusted credential carries a false real-world claim</w:t>
      </w:r>
    </w:p>
    <w:p w14:paraId="7E202C55" w14:textId="77777777" w:rsidR="00014C2F" w:rsidRDefault="008A77ED">
      <w:pPr>
        <w:spacing w:after="120" w:line="259" w:lineRule="auto"/>
      </w:pPr>
      <w:r>
        <w:t>A signed fulfilment credential may be authentic yet wrong: a parcel scan can be manipulated, a registry can be stale, an account can be controlled by an authorised fraudster, or an issuer can be compromised. RESF may then release a reserve faster precisely because the false evidence looks more authoritative than ordinary data.</w:t>
      </w:r>
    </w:p>
    <w:p w14:paraId="069A5A58" w14:textId="77777777" w:rsidR="00014C2F" w:rsidRDefault="008A77ED">
      <w:pPr>
        <w:spacing w:after="120" w:line="259" w:lineRule="auto"/>
      </w:pPr>
      <w:r>
        <w:t>Defence. Defences include short-lived credentials, revocation checks, issuer accreditation, multiple independent evidence sources, anomaly checks and exposure limits for any single issuer. High-value releases can require evidence diversity rather than one decisive credential.</w:t>
      </w:r>
    </w:p>
    <w:p w14:paraId="184D0DDD" w14:textId="77777777" w:rsidR="00014C2F" w:rsidRDefault="008A77ED">
      <w:pPr>
        <w:spacing w:after="120" w:line="259" w:lineRule="auto"/>
      </w:pPr>
      <w:r>
        <w:t>Limit. No cryptographic mechanism proves that a physical delivery occurred as claimed. Multi-source evidence raises the cost of deception but also increases integration expense and can disadvantage merchants whose supply chains lack sophisticated issuers.</w:t>
      </w:r>
    </w:p>
    <w:p w14:paraId="12E69160" w14:textId="77777777" w:rsidR="00014C2F" w:rsidRDefault="008A77ED">
      <w:pPr>
        <w:pStyle w:val="Heading2"/>
      </w:pPr>
      <w:r>
        <w:t>5.4 Shared intelligence creates correlated mistakes and concentration risk</w:t>
      </w:r>
    </w:p>
    <w:p w14:paraId="0418B74B" w14:textId="77777777" w:rsidR="00014C2F" w:rsidRDefault="008A77ED">
      <w:pPr>
        <w:spacing w:after="120" w:line="259" w:lineRule="auto"/>
      </w:pPr>
      <w:r>
        <w:t>A cross-acquirer graph is valuable because it shapes many decisions. That same reach can turn one poisoned signal, modelling defect or compromised trusted-execution environment into simultaneous withholding across several providers. A merchant could lose access to liquidity everywhere before any institution understands the common cause.</w:t>
      </w:r>
    </w:p>
    <w:p w14:paraId="48DFE404" w14:textId="77777777" w:rsidR="00014C2F" w:rsidRDefault="008A77ED">
      <w:pPr>
        <w:spacing w:after="120" w:line="259" w:lineRule="auto"/>
      </w:pPr>
      <w:r>
        <w:t>Defence. Participant contribution limits, adversarial testing, model diversity, confidence bounds, circuit breakers and independent monitoring reduce the blast radius. Severe actions require human confirmation; consortium members retain a locally governed fallback model.</w:t>
      </w:r>
    </w:p>
    <w:p w14:paraId="234DF91D" w14:textId="77777777" w:rsidR="00014C2F" w:rsidRDefault="008A77ED">
      <w:pPr>
        <w:spacing w:after="120" w:line="259" w:lineRule="auto"/>
      </w:pPr>
      <w:r>
        <w:t>Limit. Common cloud hardware, shared identity providers and correlated training data can defeat apparent diversity. Human confirmation also becomes ceremonial when hundreds of alerts arrive together. Concentration must therefore be treated as a board risk, not merely a vendor-management item.</w:t>
      </w:r>
    </w:p>
    <w:p w14:paraId="3C372D39" w14:textId="77777777" w:rsidR="00014C2F" w:rsidRDefault="008A77ED">
      <w:pPr>
        <w:pStyle w:val="Heading2"/>
      </w:pPr>
      <w:r>
        <w:t>5.5 Silent drift turns yesterday’s evidence into tomorrow’s discrimination</w:t>
      </w:r>
    </w:p>
    <w:p w14:paraId="29497230" w14:textId="77777777" w:rsidR="00014C2F" w:rsidRDefault="008A77ED">
      <w:pPr>
        <w:spacing w:after="120" w:line="259" w:lineRule="auto"/>
      </w:pPr>
      <w:r>
        <w:t>Merchant behaviour, fraud tactics, seasonality, dispute rules and logistics patterns change. A model calibrated during stable periods may tighten reserves during a shock or systematically misread new business models. Because RESF acts on cash rather than only producing a score, drift has immediate economic effects.</w:t>
      </w:r>
    </w:p>
    <w:p w14:paraId="51567634" w14:textId="77777777" w:rsidR="00014C2F" w:rsidRDefault="008A77ED">
      <w:pPr>
        <w:spacing w:after="120" w:line="259" w:lineRule="auto"/>
      </w:pPr>
      <w:r>
        <w:t>Defence. The operating model monitors loss, false-hold, appeal and subgroup outcomes; uses challenger models; freezes autonomous threshold changes; and requires revalidation after material scheme, market or data changes. Merchants receive review dates rather than indefinite holds.</w:t>
      </w:r>
    </w:p>
    <w:p w14:paraId="275D794D" w14:textId="77777777" w:rsidR="00014C2F" w:rsidRDefault="008A77ED">
      <w:pPr>
        <w:spacing w:after="120" w:line="259" w:lineRule="auto"/>
      </w:pPr>
      <w:r>
        <w:t>Limit. Drift can remain invisible when ground truth arrives late or is itself biased. Chargeback outcomes do not capture merchants that left the platform, stopped growing or never appealed. Quantitative monitoring must be supplemented by qualitative merchant evidence.</w:t>
      </w:r>
    </w:p>
    <w:p w14:paraId="0AA4935F" w14:textId="77777777" w:rsidR="00014C2F" w:rsidRDefault="008A77ED">
      <w:pPr>
        <w:pStyle w:val="Heading2"/>
      </w:pPr>
      <w:r>
        <w:t>5.6 Privacy protection fails—or works so well that oversight becomes impossible</w:t>
      </w:r>
    </w:p>
    <w:p w14:paraId="16E9DB7F" w14:textId="77777777" w:rsidR="00014C2F" w:rsidRDefault="008A77ED">
      <w:pPr>
        <w:spacing w:after="120" w:line="259" w:lineRule="auto"/>
      </w:pPr>
      <w:r>
        <w:t>Confidential computation reduces raw-data sharing, but metadata, outputs and repeated queries can still reveal commercially sensitive relationships. At the other extreme, cryptographic complexity may prevent risk, audit and compliance teams from understanding how a network signal influenced a payout.</w:t>
      </w:r>
    </w:p>
    <w:p w14:paraId="1B8A1C5C" w14:textId="77777777" w:rsidR="00014C2F" w:rsidRDefault="008A77ED">
      <w:pPr>
        <w:spacing w:after="120" w:line="259" w:lineRule="auto"/>
      </w:pPr>
      <w:r>
        <w:t>Defence. Use data minimisation, purpose limitation, output controls, attested code, privacy testing, independent access logs and a plain-language decision record. Separate model developers from settlement approvers and make consortium queries reviewable.</w:t>
      </w:r>
    </w:p>
    <w:p w14:paraId="4385F5EC" w14:textId="77777777" w:rsidR="00014C2F" w:rsidRDefault="008A77ED">
      <w:pPr>
        <w:spacing w:after="120" w:line="259" w:lineRule="auto"/>
      </w:pPr>
      <w:r>
        <w:t>Limit. Privacy and explainability can conflict. Strong secrecy may conceal unfair features; more explanation can leak detection methods or participant data. The model cannot promise perfect confidentiality and perfect transparency simultaneously.</w:t>
      </w:r>
    </w:p>
    <w:p w14:paraId="7D9CF1AA" w14:textId="77777777" w:rsidR="00014C2F" w:rsidRDefault="008A77ED">
      <w:pPr>
        <w:pStyle w:val="Heading2"/>
      </w:pPr>
      <w:r>
        <w:lastRenderedPageBreak/>
        <w:t>5.7 Regulatory and legal finality do not follow the architecture</w:t>
      </w:r>
    </w:p>
    <w:p w14:paraId="0FEEA1CA" w14:textId="77777777" w:rsidR="00014C2F" w:rsidRDefault="008A77ED">
      <w:pPr>
        <w:spacing w:after="120" w:line="259" w:lineRule="auto"/>
      </w:pPr>
      <w:r>
        <w:t>Programmable logic may call a balance a reserve, escrow, safeguard or conditional entitlement, but law determines ownership, insolvency treatment and finality. A cross-border design can encounter different requirements for safeguarding, data transfers, automated decisions and dispute rights.</w:t>
      </w:r>
    </w:p>
    <w:p w14:paraId="4E0DB82B" w14:textId="77777777" w:rsidR="00014C2F" w:rsidRDefault="008A77ED">
      <w:pPr>
        <w:spacing w:after="120" w:line="259" w:lineRule="auto"/>
      </w:pPr>
      <w:r>
        <w:t>Defence. Launch in one legal entity, one jurisdiction and one defined merchant segment. Obtain legal opinions on fund ownership, safeguarding, scheme rules, insolvency and appeal. Keep the ledger of legal title separate from the risk engine’s operational labels.</w:t>
      </w:r>
    </w:p>
    <w:p w14:paraId="4961BCEB" w14:textId="77777777" w:rsidR="00014C2F" w:rsidRDefault="008A77ED">
      <w:pPr>
        <w:spacing w:after="120" w:line="259" w:lineRule="auto"/>
      </w:pPr>
      <w:r>
        <w:t>Limit. A legal opinion is not regulatory approval, and regulation can change. Restricting the pilot reduces ambiguity but also limits the network effects that make RESF valuable.</w:t>
      </w:r>
    </w:p>
    <w:p w14:paraId="52C3B4D0" w14:textId="77777777" w:rsidR="00014C2F" w:rsidRDefault="008A77ED">
      <w:pPr>
        <w:pStyle w:val="Heading2"/>
      </w:pPr>
      <w:r>
        <w:t>5.8 The uncomfortable industry risk</w:t>
      </w:r>
    </w:p>
    <w:p w14:paraId="3EFE7B02" w14:textId="77777777" w:rsidR="00014C2F" w:rsidRDefault="008A77ED">
      <w:pPr>
        <w:spacing w:after="120" w:line="259" w:lineRule="auto"/>
      </w:pPr>
      <w:r>
        <w:t>The industry could use RESF to make risk transfer look like personalisation. An acquirer may advertise instant payouts while using opaque, continuously adjusted reserves to place more of its capital burden on small merchants. Because every hold can be described as ‘data driven’, management may approve higher aggregate withholding than it would under a visible blanket policy. The defence is disclosure of aggregate reserve economics, merchant-level explanations, an independent fairness review, limits on using</w:t>
      </w:r>
      <w:r>
        <w:t xml:space="preserve"> reserve balances as a profit lever, and board reporting that places merchant liquidity beside loss reduction. The limit is incentive compatibility: the party setting the reserve benefits directly from holding more. No model feature substitutes for regulatory and board scrutiny of that conflict.</w:t>
      </w:r>
    </w:p>
    <w:p w14:paraId="08D47AA7" w14:textId="77777777" w:rsidR="00014C2F" w:rsidRDefault="008A77ED">
      <w:pPr>
        <w:pStyle w:val="Heading2"/>
      </w:pPr>
      <w:r>
        <w:t>5.9 The Loss That Does Not Show Up Anywhere</w:t>
      </w:r>
    </w:p>
    <w:p w14:paraId="668F2B2F" w14:textId="77777777" w:rsidR="00014C2F" w:rsidRDefault="008A77ED">
      <w:pPr>
        <w:spacing w:after="120" w:line="259" w:lineRule="auto"/>
      </w:pPr>
      <w:r>
        <w:t>The unmeasured loss is the presumption that a legitimate merchant controls earned revenue. Under RESF, access to cash becomes a continuing judgement by an invisible network of issuers, models and policies. Even when every decision is statistically defensible, the merchant can begin managing the business around the machine’s confidence: choosing safer products, avoiding unusual growth, delaying experimentation and keeping excess liquidity because tomorrow’s release is uncertain. Dashboards may show lower los</w:t>
      </w:r>
      <w:r>
        <w:t>s, faster average payout and fewer blanket reserves while missing a quieter decline in autonomy, trust and entrepreneurial appetite. Appeals, reasons and maximum hold periods can reduce this harm, but they cannot remove the power imbalance. A board should approve RESF only if it is willing to treat merchant agency as an outcome—not a communications issue.</w:t>
      </w:r>
    </w:p>
    <w:p w14:paraId="2CA89F93" w14:textId="77777777" w:rsidR="00014C2F" w:rsidRDefault="008A77ED">
      <w:pPr>
        <w:pStyle w:val="Heading1"/>
      </w:pPr>
      <w:r>
        <w:t>6. Implementation Roadmap with Decision Gates</w:t>
      </w:r>
    </w:p>
    <w:p w14:paraId="1EBA7F27" w14:textId="77777777" w:rsidR="00014C2F" w:rsidRDefault="008A77ED">
      <w:pPr>
        <w:pStyle w:val="Heading2"/>
      </w:pPr>
      <w:r>
        <w:t>Phase 0: Conditions precedent</w:t>
      </w:r>
    </w:p>
    <w:p w14:paraId="1BAD2777" w14:textId="77777777" w:rsidR="00014C2F" w:rsidRDefault="008A77ED">
      <w:pPr>
        <w:spacing w:after="120" w:line="259" w:lineRule="auto"/>
      </w:pPr>
      <w:r>
        <w:t>1. One regulated settlement principal accepts end-to-end accountability and documents the supplier liability waterfall.</w:t>
      </w:r>
    </w:p>
    <w:p w14:paraId="39B2AA12" w14:textId="77777777" w:rsidR="00014C2F" w:rsidRDefault="008A77ED">
      <w:pPr>
        <w:spacing w:after="120" w:line="259" w:lineRule="auto"/>
      </w:pPr>
      <w:r>
        <w:t>2. One jurisdiction and one card-not-present merchant segment are selected; legal opinions cover safeguarding, title, scheme rules and automated decision rights.</w:t>
      </w:r>
    </w:p>
    <w:p w14:paraId="27BACCB9" w14:textId="77777777" w:rsidR="00014C2F" w:rsidRDefault="008A77ED">
      <w:pPr>
        <w:spacing w:after="120" w:line="259" w:lineRule="auto"/>
      </w:pPr>
      <w:r>
        <w:t>3. Historical payout, refund, dispute, loss, fulfilment, appeal and merchant-outcome data are linkable at cohort level.</w:t>
      </w:r>
    </w:p>
    <w:p w14:paraId="514715FF" w14:textId="77777777" w:rsidR="00014C2F" w:rsidRDefault="008A77ED">
      <w:pPr>
        <w:spacing w:after="120" w:line="259" w:lineRule="auto"/>
      </w:pPr>
      <w:r>
        <w:t>4. Baseline risk appetite, merchant-liquidity floor, fairness tolerances and materiality thresholds are board-approved before modelling.</w:t>
      </w:r>
    </w:p>
    <w:p w14:paraId="5C3AA374" w14:textId="77777777" w:rsidR="00014C2F" w:rsidRDefault="008A77ED">
      <w:pPr>
        <w:spacing w:after="120" w:line="259" w:lineRule="auto"/>
      </w:pPr>
      <w:r>
        <w:t>5. Credential issuers and confidential-computation participants meet documented accreditation, revocation, security and exit requirements.</w:t>
      </w:r>
    </w:p>
    <w:tbl>
      <w:tblPr>
        <w:tblStyle w:val="TableGrid"/>
        <w:tblW w:w="0" w:type="auto"/>
        <w:jc w:val="center"/>
        <w:tblLook w:val="04A0" w:firstRow="1" w:lastRow="0" w:firstColumn="1" w:lastColumn="0" w:noHBand="0" w:noVBand="1"/>
      </w:tblPr>
      <w:tblGrid>
        <w:gridCol w:w="1584"/>
        <w:gridCol w:w="1440"/>
        <w:gridCol w:w="3312"/>
        <w:gridCol w:w="3456"/>
      </w:tblGrid>
      <w:tr w:rsidR="00014C2F" w14:paraId="13A8D443" w14:textId="77777777">
        <w:trPr>
          <w:tblHeader/>
          <w:jc w:val="center"/>
        </w:trPr>
        <w:tc>
          <w:tcPr>
            <w:tcW w:w="1584" w:type="dxa"/>
            <w:shd w:val="clear" w:color="auto" w:fill="12304A"/>
            <w:tcMar>
              <w:top w:w="100" w:type="dxa"/>
              <w:left w:w="120" w:type="dxa"/>
              <w:bottom w:w="100" w:type="dxa"/>
              <w:right w:w="120" w:type="dxa"/>
            </w:tcMar>
            <w:vAlign w:val="center"/>
          </w:tcPr>
          <w:p w14:paraId="661B0C4B" w14:textId="77777777" w:rsidR="00014C2F" w:rsidRDefault="008A77ED">
            <w:pPr>
              <w:jc w:val="center"/>
            </w:pPr>
            <w:r>
              <w:rPr>
                <w:b/>
                <w:color w:val="FFFFFF"/>
                <w:sz w:val="18"/>
              </w:rPr>
              <w:lastRenderedPageBreak/>
              <w:t>Phase</w:t>
            </w:r>
          </w:p>
        </w:tc>
        <w:tc>
          <w:tcPr>
            <w:tcW w:w="1440" w:type="dxa"/>
            <w:shd w:val="clear" w:color="auto" w:fill="12304A"/>
            <w:tcMar>
              <w:top w:w="100" w:type="dxa"/>
              <w:left w:w="120" w:type="dxa"/>
              <w:bottom w:w="100" w:type="dxa"/>
              <w:right w:w="120" w:type="dxa"/>
            </w:tcMar>
            <w:vAlign w:val="center"/>
          </w:tcPr>
          <w:p w14:paraId="3D918AD7" w14:textId="77777777" w:rsidR="00014C2F" w:rsidRDefault="008A77ED">
            <w:pPr>
              <w:jc w:val="center"/>
            </w:pPr>
            <w:r>
              <w:rPr>
                <w:b/>
                <w:color w:val="FFFFFF"/>
                <w:sz w:val="18"/>
              </w:rPr>
              <w:t>Indicative duration</w:t>
            </w:r>
          </w:p>
        </w:tc>
        <w:tc>
          <w:tcPr>
            <w:tcW w:w="3312" w:type="dxa"/>
            <w:shd w:val="clear" w:color="auto" w:fill="12304A"/>
            <w:tcMar>
              <w:top w:w="100" w:type="dxa"/>
              <w:left w:w="120" w:type="dxa"/>
              <w:bottom w:w="100" w:type="dxa"/>
              <w:right w:w="120" w:type="dxa"/>
            </w:tcMar>
            <w:vAlign w:val="center"/>
          </w:tcPr>
          <w:p w14:paraId="27E34320" w14:textId="77777777" w:rsidR="00014C2F" w:rsidRDefault="008A77ED">
            <w:pPr>
              <w:jc w:val="center"/>
            </w:pPr>
            <w:r>
              <w:rPr>
                <w:b/>
                <w:color w:val="FFFFFF"/>
                <w:sz w:val="18"/>
              </w:rPr>
              <w:t>Key activities</w:t>
            </w:r>
          </w:p>
        </w:tc>
        <w:tc>
          <w:tcPr>
            <w:tcW w:w="3456" w:type="dxa"/>
            <w:shd w:val="clear" w:color="auto" w:fill="12304A"/>
            <w:tcMar>
              <w:top w:w="100" w:type="dxa"/>
              <w:left w:w="120" w:type="dxa"/>
              <w:bottom w:w="100" w:type="dxa"/>
              <w:right w:w="120" w:type="dxa"/>
            </w:tcMar>
            <w:vAlign w:val="center"/>
          </w:tcPr>
          <w:p w14:paraId="4D07441C" w14:textId="77777777" w:rsidR="00014C2F" w:rsidRDefault="008A77ED">
            <w:pPr>
              <w:jc w:val="center"/>
            </w:pPr>
            <w:r>
              <w:rPr>
                <w:b/>
                <w:color w:val="FFFFFF"/>
                <w:sz w:val="18"/>
              </w:rPr>
              <w:t>Decision gate</w:t>
            </w:r>
          </w:p>
        </w:tc>
      </w:tr>
      <w:tr w:rsidR="00014C2F" w14:paraId="7039E3E1" w14:textId="77777777">
        <w:trPr>
          <w:jc w:val="center"/>
        </w:trPr>
        <w:tc>
          <w:tcPr>
            <w:tcW w:w="1584" w:type="dxa"/>
            <w:tcMar>
              <w:top w:w="100" w:type="dxa"/>
              <w:left w:w="120" w:type="dxa"/>
              <w:bottom w:w="100" w:type="dxa"/>
              <w:right w:w="120" w:type="dxa"/>
            </w:tcMar>
            <w:vAlign w:val="center"/>
          </w:tcPr>
          <w:p w14:paraId="6E5FCD60" w14:textId="77777777" w:rsidR="00014C2F" w:rsidRDefault="008A77ED">
            <w:r>
              <w:rPr>
                <w:sz w:val="15"/>
              </w:rPr>
              <w:t>0 — Design authority</w:t>
            </w:r>
          </w:p>
        </w:tc>
        <w:tc>
          <w:tcPr>
            <w:tcW w:w="1440" w:type="dxa"/>
            <w:tcMar>
              <w:top w:w="100" w:type="dxa"/>
              <w:left w:w="120" w:type="dxa"/>
              <w:bottom w:w="100" w:type="dxa"/>
              <w:right w:w="120" w:type="dxa"/>
            </w:tcMar>
            <w:vAlign w:val="center"/>
          </w:tcPr>
          <w:p w14:paraId="6C5440AB" w14:textId="77777777" w:rsidR="00014C2F" w:rsidRDefault="008A77ED">
            <w:r>
              <w:rPr>
                <w:sz w:val="15"/>
              </w:rPr>
              <w:t>8–12 weeks</w:t>
            </w:r>
          </w:p>
        </w:tc>
        <w:tc>
          <w:tcPr>
            <w:tcW w:w="3312" w:type="dxa"/>
            <w:tcMar>
              <w:top w:w="100" w:type="dxa"/>
              <w:left w:w="120" w:type="dxa"/>
              <w:bottom w:w="100" w:type="dxa"/>
              <w:right w:w="120" w:type="dxa"/>
            </w:tcMar>
            <w:vAlign w:val="center"/>
          </w:tcPr>
          <w:p w14:paraId="5F8ECFE0" w14:textId="77777777" w:rsidR="00014C2F" w:rsidRDefault="008A77ED">
            <w:r>
              <w:rPr>
                <w:sz w:val="15"/>
              </w:rPr>
              <w:t>Legal design; baselines; data contracts; governance; red-team plan.</w:t>
            </w:r>
          </w:p>
        </w:tc>
        <w:tc>
          <w:tcPr>
            <w:tcW w:w="3456" w:type="dxa"/>
            <w:tcMar>
              <w:top w:w="100" w:type="dxa"/>
              <w:left w:w="120" w:type="dxa"/>
              <w:bottom w:w="100" w:type="dxa"/>
              <w:right w:w="120" w:type="dxa"/>
            </w:tcMar>
            <w:vAlign w:val="center"/>
          </w:tcPr>
          <w:p w14:paraId="2CB10D86" w14:textId="77777777" w:rsidR="00014C2F" w:rsidRDefault="008A77ED">
            <w:r>
              <w:rPr>
                <w:sz w:val="15"/>
              </w:rPr>
              <w:t>Are ownership, accountability, baseline metrics and stop authority documented and approved?</w:t>
            </w:r>
          </w:p>
        </w:tc>
      </w:tr>
      <w:tr w:rsidR="00014C2F" w14:paraId="21D9BD87" w14:textId="77777777">
        <w:trPr>
          <w:jc w:val="center"/>
        </w:trPr>
        <w:tc>
          <w:tcPr>
            <w:tcW w:w="1584" w:type="dxa"/>
            <w:shd w:val="clear" w:color="auto" w:fill="F4F7F8"/>
            <w:tcMar>
              <w:top w:w="100" w:type="dxa"/>
              <w:left w:w="120" w:type="dxa"/>
              <w:bottom w:w="100" w:type="dxa"/>
              <w:right w:w="120" w:type="dxa"/>
            </w:tcMar>
            <w:vAlign w:val="center"/>
          </w:tcPr>
          <w:p w14:paraId="51F250C1" w14:textId="77777777" w:rsidR="00014C2F" w:rsidRDefault="008A77ED">
            <w:r>
              <w:rPr>
                <w:sz w:val="15"/>
              </w:rPr>
              <w:t>1 — Shadow model</w:t>
            </w:r>
          </w:p>
        </w:tc>
        <w:tc>
          <w:tcPr>
            <w:tcW w:w="1440" w:type="dxa"/>
            <w:shd w:val="clear" w:color="auto" w:fill="F4F7F8"/>
            <w:tcMar>
              <w:top w:w="100" w:type="dxa"/>
              <w:left w:w="120" w:type="dxa"/>
              <w:bottom w:w="100" w:type="dxa"/>
              <w:right w:w="120" w:type="dxa"/>
            </w:tcMar>
            <w:vAlign w:val="center"/>
          </w:tcPr>
          <w:p w14:paraId="32F07BFA" w14:textId="77777777" w:rsidR="00014C2F" w:rsidRDefault="008A77ED">
            <w:r>
              <w:rPr>
                <w:sz w:val="15"/>
              </w:rPr>
              <w:t>12–16 weeks</w:t>
            </w:r>
          </w:p>
        </w:tc>
        <w:tc>
          <w:tcPr>
            <w:tcW w:w="3312" w:type="dxa"/>
            <w:shd w:val="clear" w:color="auto" w:fill="F4F7F8"/>
            <w:tcMar>
              <w:top w:w="100" w:type="dxa"/>
              <w:left w:w="120" w:type="dxa"/>
              <w:bottom w:w="100" w:type="dxa"/>
              <w:right w:w="120" w:type="dxa"/>
            </w:tcMar>
            <w:vAlign w:val="center"/>
          </w:tcPr>
          <w:p w14:paraId="5A5AB30E" w14:textId="77777777" w:rsidR="00014C2F" w:rsidRDefault="008A77ED">
            <w:r>
              <w:rPr>
                <w:sz w:val="15"/>
              </w:rPr>
              <w:t>Run credentials and graph signals without changing payouts; back-test completed loss cohorts.</w:t>
            </w:r>
          </w:p>
        </w:tc>
        <w:tc>
          <w:tcPr>
            <w:tcW w:w="3456" w:type="dxa"/>
            <w:shd w:val="clear" w:color="auto" w:fill="F4F7F8"/>
            <w:tcMar>
              <w:top w:w="100" w:type="dxa"/>
              <w:left w:w="120" w:type="dxa"/>
              <w:bottom w:w="100" w:type="dxa"/>
              <w:right w:w="120" w:type="dxa"/>
            </w:tcMar>
            <w:vAlign w:val="center"/>
          </w:tcPr>
          <w:p w14:paraId="2DFEF9A8" w14:textId="77777777" w:rsidR="00014C2F" w:rsidRDefault="008A77ED">
            <w:r>
              <w:rPr>
                <w:sz w:val="15"/>
              </w:rPr>
              <w:t>At equal merchant liquidity, does expected net loss improve by at least 10%, with no material subgroup deterioration?</w:t>
            </w:r>
          </w:p>
        </w:tc>
      </w:tr>
      <w:tr w:rsidR="00014C2F" w14:paraId="6BBE52AF" w14:textId="77777777">
        <w:trPr>
          <w:jc w:val="center"/>
        </w:trPr>
        <w:tc>
          <w:tcPr>
            <w:tcW w:w="1584" w:type="dxa"/>
            <w:tcMar>
              <w:top w:w="100" w:type="dxa"/>
              <w:left w:w="120" w:type="dxa"/>
              <w:bottom w:w="100" w:type="dxa"/>
              <w:right w:w="120" w:type="dxa"/>
            </w:tcMar>
            <w:vAlign w:val="center"/>
          </w:tcPr>
          <w:p w14:paraId="268B1DAB" w14:textId="77777777" w:rsidR="00014C2F" w:rsidRDefault="008A77ED">
            <w:r>
              <w:rPr>
                <w:sz w:val="15"/>
              </w:rPr>
              <w:t>2 — Safe-tranche pilot</w:t>
            </w:r>
          </w:p>
        </w:tc>
        <w:tc>
          <w:tcPr>
            <w:tcW w:w="1440" w:type="dxa"/>
            <w:tcMar>
              <w:top w:w="100" w:type="dxa"/>
              <w:left w:w="120" w:type="dxa"/>
              <w:bottom w:w="100" w:type="dxa"/>
              <w:right w:w="120" w:type="dxa"/>
            </w:tcMar>
            <w:vAlign w:val="center"/>
          </w:tcPr>
          <w:p w14:paraId="6FD3E9A6" w14:textId="77777777" w:rsidR="00014C2F" w:rsidRDefault="008A77ED">
            <w:r>
              <w:rPr>
                <w:sz w:val="15"/>
              </w:rPr>
              <w:t>16–24 weeks</w:t>
            </w:r>
          </w:p>
        </w:tc>
        <w:tc>
          <w:tcPr>
            <w:tcW w:w="3312" w:type="dxa"/>
            <w:tcMar>
              <w:top w:w="100" w:type="dxa"/>
              <w:left w:w="120" w:type="dxa"/>
              <w:bottom w:w="100" w:type="dxa"/>
              <w:right w:w="120" w:type="dxa"/>
            </w:tcMar>
            <w:vAlign w:val="center"/>
          </w:tcPr>
          <w:p w14:paraId="373D799D" w14:textId="77777777" w:rsidR="00014C2F" w:rsidRDefault="008A77ED">
            <w:r>
              <w:rPr>
                <w:sz w:val="15"/>
              </w:rPr>
              <w:t>Apply capped transaction-level release to a small merchant cohort; maintain conventional reserve fallback.</w:t>
            </w:r>
          </w:p>
        </w:tc>
        <w:tc>
          <w:tcPr>
            <w:tcW w:w="3456" w:type="dxa"/>
            <w:tcMar>
              <w:top w:w="100" w:type="dxa"/>
              <w:left w:w="120" w:type="dxa"/>
              <w:bottom w:w="100" w:type="dxa"/>
              <w:right w:w="120" w:type="dxa"/>
            </w:tcMar>
            <w:vAlign w:val="center"/>
          </w:tcPr>
          <w:p w14:paraId="54D64E14" w14:textId="77777777" w:rsidR="00014C2F" w:rsidRDefault="008A77ED">
            <w:r>
              <w:rPr>
                <w:sz w:val="15"/>
              </w:rPr>
              <w:t>Are loss, false holds, appeal overturns, latency and incidents all inside pre-committed tolerances for two completed cohorts?</w:t>
            </w:r>
          </w:p>
        </w:tc>
      </w:tr>
      <w:tr w:rsidR="00014C2F" w14:paraId="64D5EC69" w14:textId="77777777">
        <w:trPr>
          <w:jc w:val="center"/>
        </w:trPr>
        <w:tc>
          <w:tcPr>
            <w:tcW w:w="1584" w:type="dxa"/>
            <w:shd w:val="clear" w:color="auto" w:fill="F4F7F8"/>
            <w:tcMar>
              <w:top w:w="100" w:type="dxa"/>
              <w:left w:w="120" w:type="dxa"/>
              <w:bottom w:w="100" w:type="dxa"/>
              <w:right w:w="120" w:type="dxa"/>
            </w:tcMar>
            <w:vAlign w:val="center"/>
          </w:tcPr>
          <w:p w14:paraId="005B75E2" w14:textId="77777777" w:rsidR="00014C2F" w:rsidRDefault="008A77ED">
            <w:r>
              <w:rPr>
                <w:sz w:val="15"/>
              </w:rPr>
              <w:t>3 — Multi-party scale</w:t>
            </w:r>
          </w:p>
        </w:tc>
        <w:tc>
          <w:tcPr>
            <w:tcW w:w="1440" w:type="dxa"/>
            <w:shd w:val="clear" w:color="auto" w:fill="F4F7F8"/>
            <w:tcMar>
              <w:top w:w="100" w:type="dxa"/>
              <w:left w:w="120" w:type="dxa"/>
              <w:bottom w:w="100" w:type="dxa"/>
              <w:right w:w="120" w:type="dxa"/>
            </w:tcMar>
            <w:vAlign w:val="center"/>
          </w:tcPr>
          <w:p w14:paraId="63A223D0" w14:textId="77777777" w:rsidR="00014C2F" w:rsidRDefault="008A77ED">
            <w:r>
              <w:rPr>
                <w:sz w:val="15"/>
              </w:rPr>
              <w:t>24–36 weeks</w:t>
            </w:r>
          </w:p>
        </w:tc>
        <w:tc>
          <w:tcPr>
            <w:tcW w:w="3312" w:type="dxa"/>
            <w:shd w:val="clear" w:color="auto" w:fill="F4F7F8"/>
            <w:tcMar>
              <w:top w:w="100" w:type="dxa"/>
              <w:left w:w="120" w:type="dxa"/>
              <w:bottom w:w="100" w:type="dxa"/>
              <w:right w:w="120" w:type="dxa"/>
            </w:tcMar>
            <w:vAlign w:val="center"/>
          </w:tcPr>
          <w:p w14:paraId="04A6971F" w14:textId="77777777" w:rsidR="00014C2F" w:rsidRDefault="008A77ED">
            <w:r>
              <w:rPr>
                <w:sz w:val="15"/>
              </w:rPr>
              <w:t>Add external credential issuers and confidential network participants; increase limits gradually.</w:t>
            </w:r>
          </w:p>
        </w:tc>
        <w:tc>
          <w:tcPr>
            <w:tcW w:w="3456" w:type="dxa"/>
            <w:shd w:val="clear" w:color="auto" w:fill="F4F7F8"/>
            <w:tcMar>
              <w:top w:w="100" w:type="dxa"/>
              <w:left w:w="120" w:type="dxa"/>
              <w:bottom w:w="100" w:type="dxa"/>
              <w:right w:w="120" w:type="dxa"/>
            </w:tcMar>
            <w:vAlign w:val="center"/>
          </w:tcPr>
          <w:p w14:paraId="1923AE85" w14:textId="77777777" w:rsidR="00014C2F" w:rsidRDefault="008A77ED">
            <w:r>
              <w:rPr>
                <w:sz w:val="15"/>
              </w:rPr>
              <w:t>Does incremental benefit exceed operating and capital cost without breaching privacy, resilience or concentration limits?</w:t>
            </w:r>
          </w:p>
        </w:tc>
      </w:tr>
    </w:tbl>
    <w:p w14:paraId="44EAFD9C" w14:textId="77777777" w:rsidR="00014C2F" w:rsidRDefault="00014C2F">
      <w:pPr>
        <w:spacing w:after="40"/>
      </w:pPr>
    </w:p>
    <w:p w14:paraId="212A1239" w14:textId="77777777" w:rsidR="00014C2F" w:rsidRDefault="008A77ED">
      <w:r>
        <w:rPr>
          <w:i/>
          <w:sz w:val="16"/>
        </w:rPr>
        <w:t>Figure 2. Evidence-led roadmap: every phase is useful independently and must earn the next investment.</w:t>
      </w:r>
    </w:p>
    <w:p w14:paraId="07A63876" w14:textId="77777777" w:rsidR="00014C2F" w:rsidRDefault="008A77ED">
      <w:pPr>
        <w:pStyle w:val="Heading2"/>
      </w:pPr>
      <w:r>
        <w:t>Investment and return envelope</w:t>
      </w:r>
    </w:p>
    <w:p w14:paraId="06CB7386" w14:textId="77777777" w:rsidR="00014C2F" w:rsidRDefault="008A77ED">
      <w:pPr>
        <w:spacing w:after="120" w:line="259" w:lineRule="auto"/>
      </w:pPr>
      <w:r>
        <w:t>No authoritative public benchmark provides the cost of this exact integrated model. The following ranges are illustrative planning assumptions for a mid-sized acquirer and must be replaced by vendor quotations, internal delivery estimates and local capital costs. They are shown to prevent false precision, not to predict a business case.</w:t>
      </w:r>
    </w:p>
    <w:tbl>
      <w:tblPr>
        <w:tblStyle w:val="TableGrid"/>
        <w:tblW w:w="0" w:type="auto"/>
        <w:jc w:val="center"/>
        <w:tblLook w:val="04A0" w:firstRow="1" w:lastRow="0" w:firstColumn="1" w:lastColumn="0" w:noHBand="0" w:noVBand="1"/>
      </w:tblPr>
      <w:tblGrid>
        <w:gridCol w:w="936"/>
        <w:gridCol w:w="1944"/>
        <w:gridCol w:w="2160"/>
        <w:gridCol w:w="4752"/>
      </w:tblGrid>
      <w:tr w:rsidR="00014C2F" w14:paraId="6661346D" w14:textId="77777777">
        <w:trPr>
          <w:tblHeader/>
          <w:jc w:val="center"/>
        </w:trPr>
        <w:tc>
          <w:tcPr>
            <w:tcW w:w="936" w:type="dxa"/>
            <w:shd w:val="clear" w:color="auto" w:fill="12304A"/>
            <w:tcMar>
              <w:top w:w="100" w:type="dxa"/>
              <w:left w:w="120" w:type="dxa"/>
              <w:bottom w:w="100" w:type="dxa"/>
              <w:right w:w="120" w:type="dxa"/>
            </w:tcMar>
            <w:vAlign w:val="center"/>
          </w:tcPr>
          <w:p w14:paraId="1D7DE3AD" w14:textId="77777777" w:rsidR="00014C2F" w:rsidRDefault="008A77ED">
            <w:pPr>
              <w:jc w:val="center"/>
            </w:pPr>
            <w:r>
              <w:rPr>
                <w:b/>
                <w:color w:val="FFFFFF"/>
                <w:sz w:val="18"/>
              </w:rPr>
              <w:t>Phase</w:t>
            </w:r>
          </w:p>
        </w:tc>
        <w:tc>
          <w:tcPr>
            <w:tcW w:w="1944" w:type="dxa"/>
            <w:shd w:val="clear" w:color="auto" w:fill="12304A"/>
            <w:tcMar>
              <w:top w:w="100" w:type="dxa"/>
              <w:left w:w="120" w:type="dxa"/>
              <w:bottom w:w="100" w:type="dxa"/>
              <w:right w:w="120" w:type="dxa"/>
            </w:tcMar>
            <w:vAlign w:val="center"/>
          </w:tcPr>
          <w:p w14:paraId="0912C8CD" w14:textId="77777777" w:rsidR="00014C2F" w:rsidRDefault="008A77ED">
            <w:pPr>
              <w:jc w:val="center"/>
            </w:pPr>
            <w:r>
              <w:rPr>
                <w:b/>
                <w:color w:val="FFFFFF"/>
                <w:sz w:val="18"/>
              </w:rPr>
              <w:t>Illustrative investment (USD)</w:t>
            </w:r>
          </w:p>
        </w:tc>
        <w:tc>
          <w:tcPr>
            <w:tcW w:w="2160" w:type="dxa"/>
            <w:shd w:val="clear" w:color="auto" w:fill="12304A"/>
            <w:tcMar>
              <w:top w:w="100" w:type="dxa"/>
              <w:left w:w="120" w:type="dxa"/>
              <w:bottom w:w="100" w:type="dxa"/>
              <w:right w:w="120" w:type="dxa"/>
            </w:tcMar>
            <w:vAlign w:val="center"/>
          </w:tcPr>
          <w:p w14:paraId="799F5D8F" w14:textId="77777777" w:rsidR="00014C2F" w:rsidRDefault="008A77ED">
            <w:pPr>
              <w:jc w:val="center"/>
            </w:pPr>
            <w:r>
              <w:rPr>
                <w:b/>
                <w:color w:val="FFFFFF"/>
                <w:sz w:val="18"/>
              </w:rPr>
              <w:t>Cumulative scale</w:t>
            </w:r>
          </w:p>
        </w:tc>
        <w:tc>
          <w:tcPr>
            <w:tcW w:w="4752" w:type="dxa"/>
            <w:shd w:val="clear" w:color="auto" w:fill="12304A"/>
            <w:tcMar>
              <w:top w:w="100" w:type="dxa"/>
              <w:left w:w="120" w:type="dxa"/>
              <w:bottom w:w="100" w:type="dxa"/>
              <w:right w:w="120" w:type="dxa"/>
            </w:tcMar>
            <w:vAlign w:val="center"/>
          </w:tcPr>
          <w:p w14:paraId="17674E09" w14:textId="77777777" w:rsidR="00014C2F" w:rsidRDefault="008A77ED">
            <w:pPr>
              <w:jc w:val="center"/>
            </w:pPr>
            <w:r>
              <w:rPr>
                <w:b/>
                <w:color w:val="FFFFFF"/>
                <w:sz w:val="18"/>
              </w:rPr>
              <w:t>Indicative payback logic</w:t>
            </w:r>
          </w:p>
        </w:tc>
      </w:tr>
      <w:tr w:rsidR="00014C2F" w14:paraId="6F0863B4" w14:textId="77777777">
        <w:trPr>
          <w:jc w:val="center"/>
        </w:trPr>
        <w:tc>
          <w:tcPr>
            <w:tcW w:w="936" w:type="dxa"/>
            <w:tcMar>
              <w:top w:w="100" w:type="dxa"/>
              <w:left w:w="120" w:type="dxa"/>
              <w:bottom w:w="100" w:type="dxa"/>
              <w:right w:w="120" w:type="dxa"/>
            </w:tcMar>
            <w:vAlign w:val="center"/>
          </w:tcPr>
          <w:p w14:paraId="4B584315" w14:textId="77777777" w:rsidR="00014C2F" w:rsidRDefault="008A77ED">
            <w:r>
              <w:rPr>
                <w:sz w:val="16"/>
              </w:rPr>
              <w:t>0</w:t>
            </w:r>
          </w:p>
        </w:tc>
        <w:tc>
          <w:tcPr>
            <w:tcW w:w="1944" w:type="dxa"/>
            <w:tcMar>
              <w:top w:w="100" w:type="dxa"/>
              <w:left w:w="120" w:type="dxa"/>
              <w:bottom w:w="100" w:type="dxa"/>
              <w:right w:w="120" w:type="dxa"/>
            </w:tcMar>
            <w:vAlign w:val="center"/>
          </w:tcPr>
          <w:p w14:paraId="6A22FF5C" w14:textId="77777777" w:rsidR="00014C2F" w:rsidRDefault="008A77ED">
            <w:r>
              <w:rPr>
                <w:sz w:val="16"/>
              </w:rPr>
              <w:t>0.3–0.7m</w:t>
            </w:r>
          </w:p>
        </w:tc>
        <w:tc>
          <w:tcPr>
            <w:tcW w:w="2160" w:type="dxa"/>
            <w:tcMar>
              <w:top w:w="100" w:type="dxa"/>
              <w:left w:w="120" w:type="dxa"/>
              <w:bottom w:w="100" w:type="dxa"/>
              <w:right w:w="120" w:type="dxa"/>
            </w:tcMar>
            <w:vAlign w:val="center"/>
          </w:tcPr>
          <w:p w14:paraId="354C87BE" w14:textId="77777777" w:rsidR="00014C2F" w:rsidRDefault="008A77ED">
            <w:r>
              <w:rPr>
                <w:sz w:val="16"/>
              </w:rPr>
              <w:t>Design team; one entity</w:t>
            </w:r>
          </w:p>
        </w:tc>
        <w:tc>
          <w:tcPr>
            <w:tcW w:w="4752" w:type="dxa"/>
            <w:tcMar>
              <w:top w:w="100" w:type="dxa"/>
              <w:left w:w="120" w:type="dxa"/>
              <w:bottom w:w="100" w:type="dxa"/>
              <w:right w:w="120" w:type="dxa"/>
            </w:tcMar>
            <w:vAlign w:val="center"/>
          </w:tcPr>
          <w:p w14:paraId="60A6E5FF" w14:textId="77777777" w:rsidR="00014C2F" w:rsidRDefault="008A77ED">
            <w:r>
              <w:rPr>
                <w:sz w:val="16"/>
              </w:rPr>
              <w:t>No direct payback; avoids unlawful or ungovernable build.</w:t>
            </w:r>
          </w:p>
        </w:tc>
      </w:tr>
      <w:tr w:rsidR="00014C2F" w14:paraId="652AEF91" w14:textId="77777777">
        <w:trPr>
          <w:jc w:val="center"/>
        </w:trPr>
        <w:tc>
          <w:tcPr>
            <w:tcW w:w="936" w:type="dxa"/>
            <w:shd w:val="clear" w:color="auto" w:fill="F4F7F8"/>
            <w:tcMar>
              <w:top w:w="100" w:type="dxa"/>
              <w:left w:w="120" w:type="dxa"/>
              <w:bottom w:w="100" w:type="dxa"/>
              <w:right w:w="120" w:type="dxa"/>
            </w:tcMar>
            <w:vAlign w:val="center"/>
          </w:tcPr>
          <w:p w14:paraId="649841BE" w14:textId="77777777" w:rsidR="00014C2F" w:rsidRDefault="008A77ED">
            <w:r>
              <w:rPr>
                <w:sz w:val="16"/>
              </w:rPr>
              <w:t>1</w:t>
            </w:r>
          </w:p>
        </w:tc>
        <w:tc>
          <w:tcPr>
            <w:tcW w:w="1944" w:type="dxa"/>
            <w:shd w:val="clear" w:color="auto" w:fill="F4F7F8"/>
            <w:tcMar>
              <w:top w:w="100" w:type="dxa"/>
              <w:left w:w="120" w:type="dxa"/>
              <w:bottom w:w="100" w:type="dxa"/>
              <w:right w:w="120" w:type="dxa"/>
            </w:tcMar>
            <w:vAlign w:val="center"/>
          </w:tcPr>
          <w:p w14:paraId="5BF2E5F1" w14:textId="77777777" w:rsidR="00014C2F" w:rsidRDefault="008A77ED">
            <w:r>
              <w:rPr>
                <w:sz w:val="16"/>
              </w:rPr>
              <w:t>0.8–1.8m</w:t>
            </w:r>
          </w:p>
        </w:tc>
        <w:tc>
          <w:tcPr>
            <w:tcW w:w="2160" w:type="dxa"/>
            <w:shd w:val="clear" w:color="auto" w:fill="F4F7F8"/>
            <w:tcMar>
              <w:top w:w="100" w:type="dxa"/>
              <w:left w:w="120" w:type="dxa"/>
              <w:bottom w:w="100" w:type="dxa"/>
              <w:right w:w="120" w:type="dxa"/>
            </w:tcMar>
            <w:vAlign w:val="center"/>
          </w:tcPr>
          <w:p w14:paraId="76EE5E87" w14:textId="77777777" w:rsidR="00014C2F" w:rsidRDefault="008A77ED">
            <w:r>
              <w:rPr>
                <w:sz w:val="16"/>
              </w:rPr>
              <w:t>Historical data; shadow environment</w:t>
            </w:r>
          </w:p>
        </w:tc>
        <w:tc>
          <w:tcPr>
            <w:tcW w:w="4752" w:type="dxa"/>
            <w:shd w:val="clear" w:color="auto" w:fill="F4F7F8"/>
            <w:tcMar>
              <w:top w:w="100" w:type="dxa"/>
              <w:left w:w="120" w:type="dxa"/>
              <w:bottom w:w="100" w:type="dxa"/>
              <w:right w:w="120" w:type="dxa"/>
            </w:tcMar>
            <w:vAlign w:val="center"/>
          </w:tcPr>
          <w:p w14:paraId="23981EF1" w14:textId="77777777" w:rsidR="00014C2F" w:rsidRDefault="008A77ED">
            <w:r>
              <w:rPr>
                <w:sz w:val="16"/>
              </w:rPr>
              <w:t>Value is evidence: loss and liquidity counterfactuals.</w:t>
            </w:r>
          </w:p>
        </w:tc>
      </w:tr>
      <w:tr w:rsidR="00014C2F" w14:paraId="2AC90FF7" w14:textId="77777777">
        <w:trPr>
          <w:jc w:val="center"/>
        </w:trPr>
        <w:tc>
          <w:tcPr>
            <w:tcW w:w="936" w:type="dxa"/>
            <w:tcMar>
              <w:top w:w="100" w:type="dxa"/>
              <w:left w:w="120" w:type="dxa"/>
              <w:bottom w:w="100" w:type="dxa"/>
              <w:right w:w="120" w:type="dxa"/>
            </w:tcMar>
            <w:vAlign w:val="center"/>
          </w:tcPr>
          <w:p w14:paraId="18F999B5" w14:textId="77777777" w:rsidR="00014C2F" w:rsidRDefault="008A77ED">
            <w:r>
              <w:rPr>
                <w:sz w:val="16"/>
              </w:rPr>
              <w:t>2</w:t>
            </w:r>
          </w:p>
        </w:tc>
        <w:tc>
          <w:tcPr>
            <w:tcW w:w="1944" w:type="dxa"/>
            <w:tcMar>
              <w:top w:w="100" w:type="dxa"/>
              <w:left w:w="120" w:type="dxa"/>
              <w:bottom w:w="100" w:type="dxa"/>
              <w:right w:w="120" w:type="dxa"/>
            </w:tcMar>
            <w:vAlign w:val="center"/>
          </w:tcPr>
          <w:p w14:paraId="2A2E1D71" w14:textId="77777777" w:rsidR="00014C2F" w:rsidRDefault="008A77ED">
            <w:r>
              <w:rPr>
                <w:sz w:val="16"/>
              </w:rPr>
              <w:t>1.5–3.5m</w:t>
            </w:r>
          </w:p>
        </w:tc>
        <w:tc>
          <w:tcPr>
            <w:tcW w:w="2160" w:type="dxa"/>
            <w:tcMar>
              <w:top w:w="100" w:type="dxa"/>
              <w:left w:w="120" w:type="dxa"/>
              <w:bottom w:w="100" w:type="dxa"/>
              <w:right w:w="120" w:type="dxa"/>
            </w:tcMar>
            <w:vAlign w:val="center"/>
          </w:tcPr>
          <w:p w14:paraId="71F00825" w14:textId="77777777" w:rsidR="00014C2F" w:rsidRDefault="008A77ED">
            <w:r>
              <w:rPr>
                <w:sz w:val="16"/>
              </w:rPr>
              <w:t>One segment; limited live volume</w:t>
            </w:r>
          </w:p>
        </w:tc>
        <w:tc>
          <w:tcPr>
            <w:tcW w:w="4752" w:type="dxa"/>
            <w:tcMar>
              <w:top w:w="100" w:type="dxa"/>
              <w:left w:w="120" w:type="dxa"/>
              <w:bottom w:w="100" w:type="dxa"/>
              <w:right w:w="120" w:type="dxa"/>
            </w:tcMar>
            <w:vAlign w:val="center"/>
          </w:tcPr>
          <w:p w14:paraId="131C13DF" w14:textId="77777777" w:rsidR="00014C2F" w:rsidRDefault="008A77ED">
            <w:r>
              <w:rPr>
                <w:sz w:val="16"/>
              </w:rPr>
              <w:t>Potential lower reserves/losses; not expected to repay full programme.</w:t>
            </w:r>
          </w:p>
        </w:tc>
      </w:tr>
      <w:tr w:rsidR="00014C2F" w14:paraId="5ECE3C4C" w14:textId="77777777">
        <w:trPr>
          <w:jc w:val="center"/>
        </w:trPr>
        <w:tc>
          <w:tcPr>
            <w:tcW w:w="936" w:type="dxa"/>
            <w:shd w:val="clear" w:color="auto" w:fill="F4F7F8"/>
            <w:tcMar>
              <w:top w:w="100" w:type="dxa"/>
              <w:left w:w="120" w:type="dxa"/>
              <w:bottom w:w="100" w:type="dxa"/>
              <w:right w:w="120" w:type="dxa"/>
            </w:tcMar>
            <w:vAlign w:val="center"/>
          </w:tcPr>
          <w:p w14:paraId="5FCD5EC4" w14:textId="77777777" w:rsidR="00014C2F" w:rsidRDefault="008A77ED">
            <w:r>
              <w:rPr>
                <w:sz w:val="16"/>
              </w:rPr>
              <w:t>3</w:t>
            </w:r>
          </w:p>
        </w:tc>
        <w:tc>
          <w:tcPr>
            <w:tcW w:w="1944" w:type="dxa"/>
            <w:shd w:val="clear" w:color="auto" w:fill="F4F7F8"/>
            <w:tcMar>
              <w:top w:w="100" w:type="dxa"/>
              <w:left w:w="120" w:type="dxa"/>
              <w:bottom w:w="100" w:type="dxa"/>
              <w:right w:w="120" w:type="dxa"/>
            </w:tcMar>
            <w:vAlign w:val="center"/>
          </w:tcPr>
          <w:p w14:paraId="33E302CD" w14:textId="77777777" w:rsidR="00014C2F" w:rsidRDefault="008A77ED">
            <w:r>
              <w:rPr>
                <w:sz w:val="16"/>
              </w:rPr>
              <w:t>3–8m+</w:t>
            </w:r>
          </w:p>
        </w:tc>
        <w:tc>
          <w:tcPr>
            <w:tcW w:w="2160" w:type="dxa"/>
            <w:shd w:val="clear" w:color="auto" w:fill="F4F7F8"/>
            <w:tcMar>
              <w:top w:w="100" w:type="dxa"/>
              <w:left w:w="120" w:type="dxa"/>
              <w:bottom w:w="100" w:type="dxa"/>
              <w:right w:w="120" w:type="dxa"/>
            </w:tcMar>
            <w:vAlign w:val="center"/>
          </w:tcPr>
          <w:p w14:paraId="24DADC50" w14:textId="77777777" w:rsidR="00014C2F" w:rsidRDefault="008A77ED">
            <w:r>
              <w:rPr>
                <w:sz w:val="16"/>
              </w:rPr>
              <w:t>Multiple participants and issuers</w:t>
            </w:r>
          </w:p>
        </w:tc>
        <w:tc>
          <w:tcPr>
            <w:tcW w:w="4752" w:type="dxa"/>
            <w:shd w:val="clear" w:color="auto" w:fill="F4F7F8"/>
            <w:tcMar>
              <w:top w:w="100" w:type="dxa"/>
              <w:left w:w="120" w:type="dxa"/>
              <w:bottom w:w="100" w:type="dxa"/>
              <w:right w:w="120" w:type="dxa"/>
            </w:tcMar>
            <w:vAlign w:val="center"/>
          </w:tcPr>
          <w:p w14:paraId="02AAD91A" w14:textId="77777777" w:rsidR="00014C2F" w:rsidRDefault="008A77ED">
            <w:r>
              <w:rPr>
                <w:sz w:val="16"/>
              </w:rPr>
              <w:t>Proceed only if annual net benefit exceeds ongoing cost and risk capital charge by agreed hurdle.</w:t>
            </w:r>
          </w:p>
        </w:tc>
      </w:tr>
    </w:tbl>
    <w:p w14:paraId="4B94D5A5" w14:textId="77777777" w:rsidR="00014C2F" w:rsidRDefault="00014C2F">
      <w:pPr>
        <w:spacing w:after="40"/>
      </w:pPr>
    </w:p>
    <w:p w14:paraId="63ADA73D" w14:textId="77777777" w:rsidR="00014C2F" w:rsidRDefault="008A77ED">
      <w:pPr>
        <w:spacing w:after="120" w:line="259" w:lineRule="auto"/>
      </w:pPr>
      <w:r>
        <w:t>A defensible business case should calculate: avoided net acquiring loss + incremental payout revenue + merchant-retention contribution + released reserve funding cost, less implementation, credentials, computation, operations, appeals, compliance, model validation, capital and expected incident cost. Benefits should be reported as ranges under loss and adoption scenarios.</w:t>
      </w:r>
    </w:p>
    <w:p w14:paraId="718A86CA" w14:textId="77777777" w:rsidR="00014C2F" w:rsidRDefault="008A77ED">
      <w:pPr>
        <w:spacing w:after="120" w:line="259" w:lineRule="auto"/>
      </w:pPr>
      <w:r>
        <w:t>The benefit denominator must include merchant harm. A proposal that reduces chargeback loss by withholding substantially more cash has not improved risk economics; it has transferred risk. The board dashboard should therefore pair net loss with median and tail hold duration, false-hold incidence, appeal outcomes, merchant attrition and concentration by credential issuer. Return is credible only when loss and liquidity improve together, or when any sacrifice is explicitly approved.</w:t>
      </w:r>
    </w:p>
    <w:p w14:paraId="35EA5BA9" w14:textId="77777777" w:rsidR="00014C2F" w:rsidRDefault="008A77ED">
      <w:pPr>
        <w:spacing w:after="120" w:line="259" w:lineRule="auto"/>
      </w:pPr>
      <w:r>
        <w:t>Each phase creates a usable asset even if the programme stops. Phase 0 leaves a clarified liability map and risk appetite. Phase 1 produces a validated loss-and-liquidity baseline. Phase 2 tests whether differentiated settlement improves outcomes without requiring consortium scale. Phase 3 adds network effects only after local value is demonstrated. This sequencing prevents the consortium from becoming a prerequisite for learning and keeps early investment reversible.</w:t>
      </w:r>
    </w:p>
    <w:p w14:paraId="5ED9AB71" w14:textId="77777777" w:rsidR="00014C2F" w:rsidRDefault="008A77ED">
      <w:pPr>
        <w:pStyle w:val="Heading2"/>
      </w:pPr>
      <w:r>
        <w:t>Pre-committed kill criteria</w:t>
      </w:r>
    </w:p>
    <w:p w14:paraId="31275D50" w14:textId="77777777" w:rsidR="00014C2F" w:rsidRDefault="008A77ED">
      <w:pPr>
        <w:spacing w:after="120" w:line="259" w:lineRule="auto"/>
      </w:pPr>
      <w:r>
        <w:t>• Less than 10% improvement in expected net loss at the same merchant-liquidity level after two completed loss cohorts.</w:t>
      </w:r>
    </w:p>
    <w:p w14:paraId="2E1B264C" w14:textId="77777777" w:rsidR="00014C2F" w:rsidRDefault="008A77ED">
      <w:pPr>
        <w:spacing w:after="120" w:line="259" w:lineRule="auto"/>
      </w:pPr>
      <w:r>
        <w:lastRenderedPageBreak/>
        <w:t>• False-hold rate more than 0.20 percentage points above the control cohort, or any approved subgroup tolerance breached for two reporting periods.</w:t>
      </w:r>
    </w:p>
    <w:p w14:paraId="4AE90D44" w14:textId="77777777" w:rsidR="00014C2F" w:rsidRDefault="008A77ED">
      <w:pPr>
        <w:spacing w:after="120" w:line="259" w:lineRule="auto"/>
      </w:pPr>
      <w:r>
        <w:t>• More than 15% of merchant appeals overturned because the original decision lacked accurate evidence or policy application.</w:t>
      </w:r>
    </w:p>
    <w:p w14:paraId="5EE98512" w14:textId="77777777" w:rsidR="00014C2F" w:rsidRDefault="008A77ED">
      <w:pPr>
        <w:spacing w:after="120" w:line="259" w:lineRule="auto"/>
      </w:pPr>
      <w:r>
        <w:t>• Fewer than 99% of payout restrictions producing a recorded reason category, evidence provenance and review date.</w:t>
      </w:r>
    </w:p>
    <w:p w14:paraId="5F59339D" w14:textId="77777777" w:rsidR="00014C2F" w:rsidRDefault="008A77ED">
      <w:pPr>
        <w:spacing w:after="120" w:line="259" w:lineRule="auto"/>
      </w:pPr>
      <w:r>
        <w:t>• Any single erroneous release or withholding above the board-approved materiality threshold, or any unresolved material privacy breach.</w:t>
      </w:r>
    </w:p>
    <w:tbl>
      <w:tblPr>
        <w:tblW w:w="0" w:type="auto"/>
        <w:jc w:val="center"/>
        <w:tblLook w:val="04A0" w:firstRow="1" w:lastRow="0" w:firstColumn="1" w:lastColumn="0" w:noHBand="0" w:noVBand="1"/>
      </w:tblPr>
      <w:tblGrid>
        <w:gridCol w:w="9936"/>
      </w:tblGrid>
      <w:tr w:rsidR="00014C2F" w14:paraId="6CCCD240" w14:textId="77777777">
        <w:trPr>
          <w:jc w:val="center"/>
        </w:trPr>
        <w:tc>
          <w:tcPr>
            <w:tcW w:w="9936" w:type="dxa"/>
            <w:shd w:val="clear" w:color="auto" w:fill="EAF3F5"/>
            <w:tcMar>
              <w:top w:w="160" w:type="dxa"/>
              <w:left w:w="180" w:type="dxa"/>
              <w:bottom w:w="160" w:type="dxa"/>
              <w:right w:w="180" w:type="dxa"/>
            </w:tcMar>
          </w:tcPr>
          <w:p w14:paraId="1D2D6C83" w14:textId="77777777" w:rsidR="00014C2F" w:rsidRDefault="008A77ED">
            <w:r>
              <w:rPr>
                <w:b/>
                <w:color w:val="B44343"/>
                <w:sz w:val="22"/>
              </w:rPr>
              <w:t xml:space="preserve">Board rule  </w:t>
            </w:r>
            <w:r>
              <w:t>Kill criteria are commitments, not aspirations. Changing a threshold after breach requires the same authority that approved it before launch.</w:t>
            </w:r>
          </w:p>
        </w:tc>
      </w:tr>
    </w:tbl>
    <w:p w14:paraId="3DEEC669" w14:textId="77777777" w:rsidR="00014C2F" w:rsidRDefault="00014C2F">
      <w:pPr>
        <w:spacing w:after="20"/>
      </w:pPr>
    </w:p>
    <w:p w14:paraId="197CA75C" w14:textId="77777777" w:rsidR="00014C2F" w:rsidRDefault="008A77ED">
      <w:pPr>
        <w:pStyle w:val="Heading1"/>
      </w:pPr>
      <w:r>
        <w:t>7. Closing Reflection: The Inner Work This Leadership Asks</w:t>
      </w:r>
    </w:p>
    <w:p w14:paraId="4B08CE24" w14:textId="77777777" w:rsidR="00014C2F" w:rsidRDefault="008A77ED">
      <w:pPr>
        <w:spacing w:after="120" w:line="259" w:lineRule="auto"/>
      </w:pPr>
      <w:r>
        <w:t>I approached this topic with a familiar transformation instinct: speed creates value, controls manage risk, and better information should allow both. The work unsettled that neat framing. In merchant settlement, a control is not an abstract safeguard. It determines whether another organisation can pay people, buy inventory or survive a bad week. Governance can therefore create harm even when it performs exactly as designed.</w:t>
      </w:r>
    </w:p>
    <w:p w14:paraId="32D74E72" w14:textId="77777777" w:rsidR="00014C2F" w:rsidRDefault="008A77ED">
      <w:pPr>
        <w:spacing w:after="120" w:line="259" w:lineRule="auto"/>
      </w:pPr>
      <w:r>
        <w:t>The first personal cost was surrendering the comfort of believing that tighter control is always safer. My 20 years in the Indian Air Force taught me the importance of discipline, clear authority and readiness for failure. Those instincts remain valuable, but this chapter forced me to see their limit in a commercial ecosystem. A reserve can protect an institution and still be unfair. A technically correct risk signal can still damage a legitimate merchant. Control without proportionality is not mature gover</w:t>
      </w:r>
      <w:r>
        <w:t>nance; it is merely defensible administration.</w:t>
      </w:r>
    </w:p>
    <w:p w14:paraId="5FBF9017" w14:textId="77777777" w:rsidR="00014C2F" w:rsidRDefault="008A77ED">
      <w:pPr>
        <w:spacing w:after="120" w:line="259" w:lineRule="auto"/>
      </w:pPr>
      <w:r>
        <w:t>The second cost was accepting accountability for uncertainty. As a programme and transformation professional, I am comfortable with gates, owners and measurable outcomes. RESF exposes what those artefacts cannot settle: how much merchant hardship is acceptable to prevent a future loss, and whose evidence deserves trust. I cannot delegate that judgement to a model or hide it in a vendor contract. The accountable executive must own both false release and false restraint.</w:t>
      </w:r>
    </w:p>
    <w:p w14:paraId="4043BCB1" w14:textId="77777777" w:rsidR="00014C2F" w:rsidRDefault="008A77ED">
      <w:pPr>
        <w:spacing w:after="120" w:line="259" w:lineRule="auto"/>
      </w:pPr>
      <w:r>
        <w:t>I also recognised the temptation to present integration as innovation and risk controls as reassurance. The harder discipline is to ask whether the model deserves to exist. That is why the roadmap begins in shadow mode, makes each phase independently valuable and gives the programme explicit reasons to stop. A kill switch is not evidence of weak sponsorship; it is evidence that leadership values learning above sunk cost.</w:t>
      </w:r>
    </w:p>
    <w:p w14:paraId="56DD6174" w14:textId="77777777" w:rsidR="00014C2F" w:rsidRDefault="008A77ED">
      <w:pPr>
        <w:spacing w:after="120" w:line="259" w:lineRule="auto"/>
      </w:pPr>
      <w:r>
        <w:t>The leadership stance I take forward is therefore less heroic and more accountable. Move quickly where evidence justifies it. Preserve reversibility where it does not. Make power visible to the people affected by it. And measure not only the losses prevented, but the liquidity, autonomy and trust consumed along the way.</w:t>
      </w:r>
    </w:p>
    <w:p w14:paraId="121A0C64" w14:textId="77777777" w:rsidR="00014C2F" w:rsidRDefault="008A77ED">
      <w:pPr>
        <w:spacing w:after="120" w:line="259" w:lineRule="auto"/>
      </w:pPr>
      <w:r>
        <w:t>This also changes how I would sponsor the work. I would ask risk, treasury, product, operations, legal and merchant representatives to approve the baseline before seeing the model’s claimed uplift. I would require dissent to be recorded at each gate, because a unanimous dashboard can conceal an unequal distribution of pain. Most importantly, I would treat a decision to stop after shadow testing as a successful governance outcome if the evidence shows that simpler reserves or process improvements deliver com</w:t>
      </w:r>
      <w:r>
        <w:t>parable value.</w:t>
      </w:r>
    </w:p>
    <w:p w14:paraId="59DC71A1" w14:textId="77777777" w:rsidR="00014C2F" w:rsidRDefault="008A77ED">
      <w:pPr>
        <w:pStyle w:val="Heading1"/>
      </w:pPr>
      <w:r>
        <w:t>8. Practitioner Toolkit: Settlement-Risk Decision Canvas</w:t>
      </w:r>
    </w:p>
    <w:p w14:paraId="4C54FF26" w14:textId="77777777" w:rsidR="00014C2F" w:rsidRDefault="008A77ED">
      <w:pPr>
        <w:spacing w:after="120" w:line="259" w:lineRule="auto"/>
      </w:pPr>
      <w:r>
        <w:t>Complete this canvas in writing before approving a live pilot. “The project team” is not an acceptable owner.</w:t>
      </w:r>
    </w:p>
    <w:tbl>
      <w:tblPr>
        <w:tblStyle w:val="TableGrid"/>
        <w:tblW w:w="0" w:type="auto"/>
        <w:jc w:val="center"/>
        <w:tblLook w:val="04A0" w:firstRow="1" w:lastRow="0" w:firstColumn="1" w:lastColumn="0" w:noHBand="0" w:noVBand="1"/>
      </w:tblPr>
      <w:tblGrid>
        <w:gridCol w:w="1872"/>
        <w:gridCol w:w="6048"/>
        <w:gridCol w:w="1800"/>
      </w:tblGrid>
      <w:tr w:rsidR="00014C2F" w14:paraId="325743A6" w14:textId="77777777">
        <w:trPr>
          <w:tblHeader/>
          <w:jc w:val="center"/>
        </w:trPr>
        <w:tc>
          <w:tcPr>
            <w:tcW w:w="1872" w:type="dxa"/>
            <w:shd w:val="clear" w:color="auto" w:fill="12304A"/>
            <w:tcMar>
              <w:top w:w="100" w:type="dxa"/>
              <w:left w:w="120" w:type="dxa"/>
              <w:bottom w:w="100" w:type="dxa"/>
              <w:right w:w="120" w:type="dxa"/>
            </w:tcMar>
            <w:vAlign w:val="center"/>
          </w:tcPr>
          <w:p w14:paraId="707D35DE" w14:textId="77777777" w:rsidR="00014C2F" w:rsidRDefault="008A77ED">
            <w:pPr>
              <w:jc w:val="center"/>
            </w:pPr>
            <w:r>
              <w:rPr>
                <w:b/>
                <w:color w:val="FFFFFF"/>
                <w:sz w:val="18"/>
              </w:rPr>
              <w:lastRenderedPageBreak/>
              <w:t>Decision question</w:t>
            </w:r>
          </w:p>
        </w:tc>
        <w:tc>
          <w:tcPr>
            <w:tcW w:w="6048" w:type="dxa"/>
            <w:shd w:val="clear" w:color="auto" w:fill="12304A"/>
            <w:tcMar>
              <w:top w:w="100" w:type="dxa"/>
              <w:left w:w="120" w:type="dxa"/>
              <w:bottom w:w="100" w:type="dxa"/>
              <w:right w:w="120" w:type="dxa"/>
            </w:tcMar>
            <w:vAlign w:val="center"/>
          </w:tcPr>
          <w:p w14:paraId="0C90E863" w14:textId="77777777" w:rsidR="00014C2F" w:rsidRDefault="008A77ED">
            <w:pPr>
              <w:jc w:val="center"/>
            </w:pPr>
            <w:r>
              <w:rPr>
                <w:b/>
                <w:color w:val="FFFFFF"/>
                <w:sz w:val="18"/>
              </w:rPr>
              <w:t>Written answer required</w:t>
            </w:r>
          </w:p>
        </w:tc>
        <w:tc>
          <w:tcPr>
            <w:tcW w:w="1800" w:type="dxa"/>
            <w:shd w:val="clear" w:color="auto" w:fill="12304A"/>
            <w:tcMar>
              <w:top w:w="100" w:type="dxa"/>
              <w:left w:w="120" w:type="dxa"/>
              <w:bottom w:w="100" w:type="dxa"/>
              <w:right w:w="120" w:type="dxa"/>
            </w:tcMar>
            <w:vAlign w:val="center"/>
          </w:tcPr>
          <w:p w14:paraId="02141831" w14:textId="77777777" w:rsidR="00014C2F" w:rsidRDefault="008A77ED">
            <w:pPr>
              <w:jc w:val="center"/>
            </w:pPr>
            <w:r>
              <w:rPr>
                <w:b/>
                <w:color w:val="FFFFFF"/>
                <w:sz w:val="18"/>
              </w:rPr>
              <w:t>Accountable role</w:t>
            </w:r>
          </w:p>
        </w:tc>
      </w:tr>
      <w:tr w:rsidR="00014C2F" w14:paraId="345B5A05" w14:textId="77777777">
        <w:trPr>
          <w:jc w:val="center"/>
        </w:trPr>
        <w:tc>
          <w:tcPr>
            <w:tcW w:w="1872" w:type="dxa"/>
            <w:tcMar>
              <w:top w:w="100" w:type="dxa"/>
              <w:left w:w="120" w:type="dxa"/>
              <w:bottom w:w="100" w:type="dxa"/>
              <w:right w:w="120" w:type="dxa"/>
            </w:tcMar>
            <w:vAlign w:val="center"/>
          </w:tcPr>
          <w:p w14:paraId="4AEA36F2" w14:textId="77777777" w:rsidR="00014C2F" w:rsidRDefault="008A77ED">
            <w:r>
              <w:rPr>
                <w:sz w:val="16"/>
              </w:rPr>
              <w:t>1. Exposure</w:t>
            </w:r>
          </w:p>
        </w:tc>
        <w:tc>
          <w:tcPr>
            <w:tcW w:w="6048" w:type="dxa"/>
            <w:tcMar>
              <w:top w:w="100" w:type="dxa"/>
              <w:left w:w="120" w:type="dxa"/>
              <w:bottom w:w="100" w:type="dxa"/>
              <w:right w:w="120" w:type="dxa"/>
            </w:tcMar>
            <w:vAlign w:val="center"/>
          </w:tcPr>
          <w:p w14:paraId="7F59B618" w14:textId="77777777" w:rsidR="00014C2F" w:rsidRDefault="008A77ED">
            <w:r>
              <w:rPr>
                <w:sz w:val="16"/>
              </w:rPr>
              <w:t>Which liabilities can mature after payout, over what window, and who funds each one?</w:t>
            </w:r>
          </w:p>
        </w:tc>
        <w:tc>
          <w:tcPr>
            <w:tcW w:w="1800" w:type="dxa"/>
            <w:tcMar>
              <w:top w:w="100" w:type="dxa"/>
              <w:left w:w="120" w:type="dxa"/>
              <w:bottom w:w="100" w:type="dxa"/>
              <w:right w:w="120" w:type="dxa"/>
            </w:tcMar>
            <w:vAlign w:val="center"/>
          </w:tcPr>
          <w:p w14:paraId="738D76C3" w14:textId="77777777" w:rsidR="00014C2F" w:rsidRDefault="008A77ED">
            <w:r>
              <w:rPr>
                <w:sz w:val="16"/>
              </w:rPr>
              <w:t>Chief Risk Officer</w:t>
            </w:r>
          </w:p>
        </w:tc>
      </w:tr>
      <w:tr w:rsidR="00014C2F" w14:paraId="1952EB10" w14:textId="77777777">
        <w:trPr>
          <w:jc w:val="center"/>
        </w:trPr>
        <w:tc>
          <w:tcPr>
            <w:tcW w:w="1872" w:type="dxa"/>
            <w:shd w:val="clear" w:color="auto" w:fill="F4F7F8"/>
            <w:tcMar>
              <w:top w:w="100" w:type="dxa"/>
              <w:left w:w="120" w:type="dxa"/>
              <w:bottom w:w="100" w:type="dxa"/>
              <w:right w:w="120" w:type="dxa"/>
            </w:tcMar>
            <w:vAlign w:val="center"/>
          </w:tcPr>
          <w:p w14:paraId="2C8786A2" w14:textId="77777777" w:rsidR="00014C2F" w:rsidRDefault="008A77ED">
            <w:r>
              <w:rPr>
                <w:sz w:val="16"/>
              </w:rPr>
              <w:t>2. Merchant value</w:t>
            </w:r>
          </w:p>
        </w:tc>
        <w:tc>
          <w:tcPr>
            <w:tcW w:w="6048" w:type="dxa"/>
            <w:shd w:val="clear" w:color="auto" w:fill="F4F7F8"/>
            <w:tcMar>
              <w:top w:w="100" w:type="dxa"/>
              <w:left w:w="120" w:type="dxa"/>
              <w:bottom w:w="100" w:type="dxa"/>
              <w:right w:w="120" w:type="dxa"/>
            </w:tcMar>
            <w:vAlign w:val="center"/>
          </w:tcPr>
          <w:p w14:paraId="7339BF3C" w14:textId="77777777" w:rsidR="00014C2F" w:rsidRDefault="008A77ED">
            <w:r>
              <w:rPr>
                <w:sz w:val="16"/>
              </w:rPr>
              <w:t>What minimum liquidity outcome must be protected for legitimate merchants?</w:t>
            </w:r>
          </w:p>
        </w:tc>
        <w:tc>
          <w:tcPr>
            <w:tcW w:w="1800" w:type="dxa"/>
            <w:shd w:val="clear" w:color="auto" w:fill="F4F7F8"/>
            <w:tcMar>
              <w:top w:w="100" w:type="dxa"/>
              <w:left w:w="120" w:type="dxa"/>
              <w:bottom w:w="100" w:type="dxa"/>
              <w:right w:w="120" w:type="dxa"/>
            </w:tcMar>
            <w:vAlign w:val="center"/>
          </w:tcPr>
          <w:p w14:paraId="6BF193E1" w14:textId="77777777" w:rsidR="00014C2F" w:rsidRDefault="008A77ED">
            <w:r>
              <w:rPr>
                <w:sz w:val="16"/>
              </w:rPr>
              <w:t>Chief Product Officer</w:t>
            </w:r>
          </w:p>
        </w:tc>
      </w:tr>
      <w:tr w:rsidR="00014C2F" w14:paraId="692B1E94" w14:textId="77777777">
        <w:trPr>
          <w:jc w:val="center"/>
        </w:trPr>
        <w:tc>
          <w:tcPr>
            <w:tcW w:w="1872" w:type="dxa"/>
            <w:tcMar>
              <w:top w:w="100" w:type="dxa"/>
              <w:left w:w="120" w:type="dxa"/>
              <w:bottom w:w="100" w:type="dxa"/>
              <w:right w:w="120" w:type="dxa"/>
            </w:tcMar>
            <w:vAlign w:val="center"/>
          </w:tcPr>
          <w:p w14:paraId="3E216E2E" w14:textId="77777777" w:rsidR="00014C2F" w:rsidRDefault="008A77ED">
            <w:r>
              <w:rPr>
                <w:sz w:val="16"/>
              </w:rPr>
              <w:t>3. Evidence</w:t>
            </w:r>
          </w:p>
        </w:tc>
        <w:tc>
          <w:tcPr>
            <w:tcW w:w="6048" w:type="dxa"/>
            <w:tcMar>
              <w:top w:w="100" w:type="dxa"/>
              <w:left w:w="120" w:type="dxa"/>
              <w:bottom w:w="100" w:type="dxa"/>
              <w:right w:w="120" w:type="dxa"/>
            </w:tcMar>
            <w:vAlign w:val="center"/>
          </w:tcPr>
          <w:p w14:paraId="01F8F504" w14:textId="77777777" w:rsidR="00014C2F" w:rsidRDefault="008A77ED">
            <w:r>
              <w:rPr>
                <w:sz w:val="16"/>
              </w:rPr>
              <w:t>Which claims trigger release, who issues them, and how are expiry and revocation checked?</w:t>
            </w:r>
          </w:p>
        </w:tc>
        <w:tc>
          <w:tcPr>
            <w:tcW w:w="1800" w:type="dxa"/>
            <w:tcMar>
              <w:top w:w="100" w:type="dxa"/>
              <w:left w:w="120" w:type="dxa"/>
              <w:bottom w:w="100" w:type="dxa"/>
              <w:right w:w="120" w:type="dxa"/>
            </w:tcMar>
            <w:vAlign w:val="center"/>
          </w:tcPr>
          <w:p w14:paraId="33EDE4D1" w14:textId="77777777" w:rsidR="00014C2F" w:rsidRDefault="008A77ED">
            <w:r>
              <w:rPr>
                <w:sz w:val="16"/>
              </w:rPr>
              <w:t>Chief Data Officer</w:t>
            </w:r>
          </w:p>
        </w:tc>
      </w:tr>
      <w:tr w:rsidR="00014C2F" w14:paraId="52AD4697" w14:textId="77777777">
        <w:trPr>
          <w:jc w:val="center"/>
        </w:trPr>
        <w:tc>
          <w:tcPr>
            <w:tcW w:w="1872" w:type="dxa"/>
            <w:shd w:val="clear" w:color="auto" w:fill="F4F7F8"/>
            <w:tcMar>
              <w:top w:w="100" w:type="dxa"/>
              <w:left w:w="120" w:type="dxa"/>
              <w:bottom w:w="100" w:type="dxa"/>
              <w:right w:w="120" w:type="dxa"/>
            </w:tcMar>
            <w:vAlign w:val="center"/>
          </w:tcPr>
          <w:p w14:paraId="21009FE2" w14:textId="77777777" w:rsidR="00014C2F" w:rsidRDefault="008A77ED">
            <w:r>
              <w:rPr>
                <w:sz w:val="16"/>
              </w:rPr>
              <w:t>4. Network intelligence</w:t>
            </w:r>
          </w:p>
        </w:tc>
        <w:tc>
          <w:tcPr>
            <w:tcW w:w="6048" w:type="dxa"/>
            <w:shd w:val="clear" w:color="auto" w:fill="F4F7F8"/>
            <w:tcMar>
              <w:top w:w="100" w:type="dxa"/>
              <w:left w:w="120" w:type="dxa"/>
              <w:bottom w:w="100" w:type="dxa"/>
              <w:right w:w="120" w:type="dxa"/>
            </w:tcMar>
            <w:vAlign w:val="center"/>
          </w:tcPr>
          <w:p w14:paraId="3FC76943" w14:textId="77777777" w:rsidR="00014C2F" w:rsidRDefault="008A77ED">
            <w:r>
              <w:rPr>
                <w:sz w:val="16"/>
              </w:rPr>
              <w:t>What can participants learn, what raw data never leaves, and how are poisoned contributions contained?</w:t>
            </w:r>
          </w:p>
        </w:tc>
        <w:tc>
          <w:tcPr>
            <w:tcW w:w="1800" w:type="dxa"/>
            <w:shd w:val="clear" w:color="auto" w:fill="F4F7F8"/>
            <w:tcMar>
              <w:top w:w="100" w:type="dxa"/>
              <w:left w:w="120" w:type="dxa"/>
              <w:bottom w:w="100" w:type="dxa"/>
              <w:right w:w="120" w:type="dxa"/>
            </w:tcMar>
            <w:vAlign w:val="center"/>
          </w:tcPr>
          <w:p w14:paraId="10D37FFB" w14:textId="77777777" w:rsidR="00014C2F" w:rsidRDefault="008A77ED">
            <w:r>
              <w:rPr>
                <w:sz w:val="16"/>
              </w:rPr>
              <w:t>CISO / Privacy Officer</w:t>
            </w:r>
          </w:p>
        </w:tc>
      </w:tr>
      <w:tr w:rsidR="00014C2F" w14:paraId="6817EA5B" w14:textId="77777777">
        <w:trPr>
          <w:jc w:val="center"/>
        </w:trPr>
        <w:tc>
          <w:tcPr>
            <w:tcW w:w="1872" w:type="dxa"/>
            <w:tcMar>
              <w:top w:w="100" w:type="dxa"/>
              <w:left w:w="120" w:type="dxa"/>
              <w:bottom w:w="100" w:type="dxa"/>
              <w:right w:w="120" w:type="dxa"/>
            </w:tcMar>
            <w:vAlign w:val="center"/>
          </w:tcPr>
          <w:p w14:paraId="3206A2F3" w14:textId="77777777" w:rsidR="00014C2F" w:rsidRDefault="008A77ED">
            <w:r>
              <w:rPr>
                <w:sz w:val="16"/>
              </w:rPr>
              <w:t>5. Cash logic</w:t>
            </w:r>
          </w:p>
        </w:tc>
        <w:tc>
          <w:tcPr>
            <w:tcW w:w="6048" w:type="dxa"/>
            <w:tcMar>
              <w:top w:w="100" w:type="dxa"/>
              <w:left w:w="120" w:type="dxa"/>
              <w:bottom w:w="100" w:type="dxa"/>
              <w:right w:w="120" w:type="dxa"/>
            </w:tcMar>
            <w:vAlign w:val="center"/>
          </w:tcPr>
          <w:p w14:paraId="58FB0BBC" w14:textId="77777777" w:rsidR="00014C2F" w:rsidRDefault="008A77ED">
            <w:r>
              <w:rPr>
                <w:sz w:val="16"/>
              </w:rPr>
              <w:t>How is the safe tranche calculated, capped, reconciled and reversed if legally permitted?</w:t>
            </w:r>
          </w:p>
        </w:tc>
        <w:tc>
          <w:tcPr>
            <w:tcW w:w="1800" w:type="dxa"/>
            <w:tcMar>
              <w:top w:w="100" w:type="dxa"/>
              <w:left w:w="120" w:type="dxa"/>
              <w:bottom w:w="100" w:type="dxa"/>
              <w:right w:w="120" w:type="dxa"/>
            </w:tcMar>
            <w:vAlign w:val="center"/>
          </w:tcPr>
          <w:p w14:paraId="68D9D2AA" w14:textId="77777777" w:rsidR="00014C2F" w:rsidRDefault="008A77ED">
            <w:r>
              <w:rPr>
                <w:sz w:val="16"/>
              </w:rPr>
              <w:t>Treasurer / Head of Payments</w:t>
            </w:r>
          </w:p>
        </w:tc>
      </w:tr>
      <w:tr w:rsidR="00014C2F" w14:paraId="5EED8344" w14:textId="77777777">
        <w:trPr>
          <w:jc w:val="center"/>
        </w:trPr>
        <w:tc>
          <w:tcPr>
            <w:tcW w:w="1872" w:type="dxa"/>
            <w:shd w:val="clear" w:color="auto" w:fill="F4F7F8"/>
            <w:tcMar>
              <w:top w:w="100" w:type="dxa"/>
              <w:left w:w="120" w:type="dxa"/>
              <w:bottom w:w="100" w:type="dxa"/>
              <w:right w:w="120" w:type="dxa"/>
            </w:tcMar>
            <w:vAlign w:val="center"/>
          </w:tcPr>
          <w:p w14:paraId="5D2CAF6E" w14:textId="77777777" w:rsidR="00014C2F" w:rsidRDefault="008A77ED">
            <w:r>
              <w:rPr>
                <w:sz w:val="16"/>
              </w:rPr>
              <w:t>6. Accountability</w:t>
            </w:r>
          </w:p>
        </w:tc>
        <w:tc>
          <w:tcPr>
            <w:tcW w:w="6048" w:type="dxa"/>
            <w:shd w:val="clear" w:color="auto" w:fill="F4F7F8"/>
            <w:tcMar>
              <w:top w:w="100" w:type="dxa"/>
              <w:left w:w="120" w:type="dxa"/>
              <w:bottom w:w="100" w:type="dxa"/>
              <w:right w:w="120" w:type="dxa"/>
            </w:tcMar>
            <w:vAlign w:val="center"/>
          </w:tcPr>
          <w:p w14:paraId="075E545B" w14:textId="77777777" w:rsidR="00014C2F" w:rsidRDefault="008A77ED">
            <w:r>
              <w:rPr>
                <w:sz w:val="16"/>
              </w:rPr>
              <w:t>Which regulated principal owns the decision and merchant remedy end to end?</w:t>
            </w:r>
          </w:p>
        </w:tc>
        <w:tc>
          <w:tcPr>
            <w:tcW w:w="1800" w:type="dxa"/>
            <w:shd w:val="clear" w:color="auto" w:fill="F4F7F8"/>
            <w:tcMar>
              <w:top w:w="100" w:type="dxa"/>
              <w:left w:w="120" w:type="dxa"/>
              <w:bottom w:w="100" w:type="dxa"/>
              <w:right w:w="120" w:type="dxa"/>
            </w:tcMar>
            <w:vAlign w:val="center"/>
          </w:tcPr>
          <w:p w14:paraId="1E579977" w14:textId="77777777" w:rsidR="00014C2F" w:rsidRDefault="008A77ED">
            <w:r>
              <w:rPr>
                <w:sz w:val="16"/>
              </w:rPr>
              <w:t>Accountable Executive</w:t>
            </w:r>
          </w:p>
        </w:tc>
      </w:tr>
      <w:tr w:rsidR="00014C2F" w14:paraId="62E0AADC" w14:textId="77777777">
        <w:trPr>
          <w:jc w:val="center"/>
        </w:trPr>
        <w:tc>
          <w:tcPr>
            <w:tcW w:w="1872" w:type="dxa"/>
            <w:tcMar>
              <w:top w:w="100" w:type="dxa"/>
              <w:left w:w="120" w:type="dxa"/>
              <w:bottom w:w="100" w:type="dxa"/>
              <w:right w:w="120" w:type="dxa"/>
            </w:tcMar>
            <w:vAlign w:val="center"/>
          </w:tcPr>
          <w:p w14:paraId="0C890FD3" w14:textId="77777777" w:rsidR="00014C2F" w:rsidRDefault="008A77ED">
            <w:r>
              <w:rPr>
                <w:sz w:val="16"/>
              </w:rPr>
              <w:t>7. Appeal</w:t>
            </w:r>
          </w:p>
        </w:tc>
        <w:tc>
          <w:tcPr>
            <w:tcW w:w="6048" w:type="dxa"/>
            <w:tcMar>
              <w:top w:w="100" w:type="dxa"/>
              <w:left w:w="120" w:type="dxa"/>
              <w:bottom w:w="100" w:type="dxa"/>
              <w:right w:w="120" w:type="dxa"/>
            </w:tcMar>
            <w:vAlign w:val="center"/>
          </w:tcPr>
          <w:p w14:paraId="5ACDBCB6" w14:textId="77777777" w:rsidR="00014C2F" w:rsidRDefault="008A77ED">
            <w:r>
              <w:rPr>
                <w:sz w:val="16"/>
              </w:rPr>
              <w:t>What reason, review date and human route does every restricted merchant receive?</w:t>
            </w:r>
          </w:p>
        </w:tc>
        <w:tc>
          <w:tcPr>
            <w:tcW w:w="1800" w:type="dxa"/>
            <w:tcMar>
              <w:top w:w="100" w:type="dxa"/>
              <w:left w:w="120" w:type="dxa"/>
              <w:bottom w:w="100" w:type="dxa"/>
              <w:right w:w="120" w:type="dxa"/>
            </w:tcMar>
            <w:vAlign w:val="center"/>
          </w:tcPr>
          <w:p w14:paraId="1EF0309F" w14:textId="77777777" w:rsidR="00014C2F" w:rsidRDefault="008A77ED">
            <w:r>
              <w:rPr>
                <w:sz w:val="16"/>
              </w:rPr>
              <w:t>Head of Merchant Operations</w:t>
            </w:r>
          </w:p>
        </w:tc>
      </w:tr>
      <w:tr w:rsidR="00014C2F" w14:paraId="3CD88410" w14:textId="77777777">
        <w:trPr>
          <w:jc w:val="center"/>
        </w:trPr>
        <w:tc>
          <w:tcPr>
            <w:tcW w:w="1872" w:type="dxa"/>
            <w:shd w:val="clear" w:color="auto" w:fill="F4F7F8"/>
            <w:tcMar>
              <w:top w:w="100" w:type="dxa"/>
              <w:left w:w="120" w:type="dxa"/>
              <w:bottom w:w="100" w:type="dxa"/>
              <w:right w:w="120" w:type="dxa"/>
            </w:tcMar>
            <w:vAlign w:val="center"/>
          </w:tcPr>
          <w:p w14:paraId="47BD0863" w14:textId="77777777" w:rsidR="00014C2F" w:rsidRDefault="008A77ED">
            <w:r>
              <w:rPr>
                <w:sz w:val="16"/>
              </w:rPr>
              <w:t>8. Fairness</w:t>
            </w:r>
          </w:p>
        </w:tc>
        <w:tc>
          <w:tcPr>
            <w:tcW w:w="6048" w:type="dxa"/>
            <w:shd w:val="clear" w:color="auto" w:fill="F4F7F8"/>
            <w:tcMar>
              <w:top w:w="100" w:type="dxa"/>
              <w:left w:w="120" w:type="dxa"/>
              <w:bottom w:w="100" w:type="dxa"/>
              <w:right w:w="120" w:type="dxa"/>
            </w:tcMar>
            <w:vAlign w:val="center"/>
          </w:tcPr>
          <w:p w14:paraId="4971EB33" w14:textId="77777777" w:rsidR="00014C2F" w:rsidRDefault="008A77ED">
            <w:r>
              <w:rPr>
                <w:sz w:val="16"/>
              </w:rPr>
              <w:t>Which merchant cohorts are tested, against what tolerances, and who can stop deployment?</w:t>
            </w:r>
          </w:p>
        </w:tc>
        <w:tc>
          <w:tcPr>
            <w:tcW w:w="1800" w:type="dxa"/>
            <w:shd w:val="clear" w:color="auto" w:fill="F4F7F8"/>
            <w:tcMar>
              <w:top w:w="100" w:type="dxa"/>
              <w:left w:w="120" w:type="dxa"/>
              <w:bottom w:w="100" w:type="dxa"/>
              <w:right w:w="120" w:type="dxa"/>
            </w:tcMar>
            <w:vAlign w:val="center"/>
          </w:tcPr>
          <w:p w14:paraId="36571CC0" w14:textId="77777777" w:rsidR="00014C2F" w:rsidRDefault="008A77ED">
            <w:r>
              <w:rPr>
                <w:sz w:val="16"/>
              </w:rPr>
              <w:t>Compliance / Model Risk</w:t>
            </w:r>
          </w:p>
        </w:tc>
      </w:tr>
      <w:tr w:rsidR="00014C2F" w14:paraId="7C863121" w14:textId="77777777">
        <w:trPr>
          <w:jc w:val="center"/>
        </w:trPr>
        <w:tc>
          <w:tcPr>
            <w:tcW w:w="1872" w:type="dxa"/>
            <w:tcMar>
              <w:top w:w="100" w:type="dxa"/>
              <w:left w:w="120" w:type="dxa"/>
              <w:bottom w:w="100" w:type="dxa"/>
              <w:right w:w="120" w:type="dxa"/>
            </w:tcMar>
            <w:vAlign w:val="center"/>
          </w:tcPr>
          <w:p w14:paraId="0547C43B" w14:textId="77777777" w:rsidR="00014C2F" w:rsidRDefault="008A77ED">
            <w:r>
              <w:rPr>
                <w:sz w:val="16"/>
              </w:rPr>
              <w:t>9. Resilience</w:t>
            </w:r>
          </w:p>
        </w:tc>
        <w:tc>
          <w:tcPr>
            <w:tcW w:w="6048" w:type="dxa"/>
            <w:tcMar>
              <w:top w:w="100" w:type="dxa"/>
              <w:left w:w="120" w:type="dxa"/>
              <w:bottom w:w="100" w:type="dxa"/>
              <w:right w:w="120" w:type="dxa"/>
            </w:tcMar>
            <w:vAlign w:val="center"/>
          </w:tcPr>
          <w:p w14:paraId="4A0CB61C" w14:textId="77777777" w:rsidR="00014C2F" w:rsidRDefault="008A77ED">
            <w:r>
              <w:rPr>
                <w:sz w:val="16"/>
              </w:rPr>
              <w:t>What happens when credentials, graph services, cloud attestation or payout rails fail?</w:t>
            </w:r>
          </w:p>
        </w:tc>
        <w:tc>
          <w:tcPr>
            <w:tcW w:w="1800" w:type="dxa"/>
            <w:tcMar>
              <w:top w:w="100" w:type="dxa"/>
              <w:left w:w="120" w:type="dxa"/>
              <w:bottom w:w="100" w:type="dxa"/>
              <w:right w:w="120" w:type="dxa"/>
            </w:tcMar>
            <w:vAlign w:val="center"/>
          </w:tcPr>
          <w:p w14:paraId="401AC266" w14:textId="77777777" w:rsidR="00014C2F" w:rsidRDefault="008A77ED">
            <w:r>
              <w:rPr>
                <w:sz w:val="16"/>
              </w:rPr>
              <w:t>COO / Operational Resilience</w:t>
            </w:r>
          </w:p>
        </w:tc>
      </w:tr>
      <w:tr w:rsidR="00014C2F" w14:paraId="5E858DA2" w14:textId="77777777">
        <w:trPr>
          <w:jc w:val="center"/>
        </w:trPr>
        <w:tc>
          <w:tcPr>
            <w:tcW w:w="1872" w:type="dxa"/>
            <w:shd w:val="clear" w:color="auto" w:fill="F4F7F8"/>
            <w:tcMar>
              <w:top w:w="100" w:type="dxa"/>
              <w:left w:w="120" w:type="dxa"/>
              <w:bottom w:w="100" w:type="dxa"/>
              <w:right w:w="120" w:type="dxa"/>
            </w:tcMar>
            <w:vAlign w:val="center"/>
          </w:tcPr>
          <w:p w14:paraId="0B1BEF11" w14:textId="77777777" w:rsidR="00014C2F" w:rsidRDefault="008A77ED">
            <w:r>
              <w:rPr>
                <w:sz w:val="16"/>
              </w:rPr>
              <w:t>10. Exit</w:t>
            </w:r>
          </w:p>
        </w:tc>
        <w:tc>
          <w:tcPr>
            <w:tcW w:w="6048" w:type="dxa"/>
            <w:shd w:val="clear" w:color="auto" w:fill="F4F7F8"/>
            <w:tcMar>
              <w:top w:w="100" w:type="dxa"/>
              <w:left w:w="120" w:type="dxa"/>
              <w:bottom w:w="100" w:type="dxa"/>
              <w:right w:w="120" w:type="dxa"/>
            </w:tcMar>
            <w:vAlign w:val="center"/>
          </w:tcPr>
          <w:p w14:paraId="63A33353" w14:textId="77777777" w:rsidR="00014C2F" w:rsidRDefault="008A77ED">
            <w:r>
              <w:rPr>
                <w:sz w:val="16"/>
              </w:rPr>
              <w:t>What quantified conditions stop the pilot, and how are merchants returned safely to the prior process?</w:t>
            </w:r>
          </w:p>
        </w:tc>
        <w:tc>
          <w:tcPr>
            <w:tcW w:w="1800" w:type="dxa"/>
            <w:shd w:val="clear" w:color="auto" w:fill="F4F7F8"/>
            <w:tcMar>
              <w:top w:w="100" w:type="dxa"/>
              <w:left w:w="120" w:type="dxa"/>
              <w:bottom w:w="100" w:type="dxa"/>
              <w:right w:w="120" w:type="dxa"/>
            </w:tcMar>
            <w:vAlign w:val="center"/>
          </w:tcPr>
          <w:p w14:paraId="1C5A2E14" w14:textId="77777777" w:rsidR="00014C2F" w:rsidRDefault="008A77ED">
            <w:r>
              <w:rPr>
                <w:sz w:val="16"/>
              </w:rPr>
              <w:t>Programme Sponsor</w:t>
            </w:r>
          </w:p>
        </w:tc>
      </w:tr>
    </w:tbl>
    <w:p w14:paraId="3656B9AB" w14:textId="77777777" w:rsidR="00014C2F" w:rsidRDefault="00014C2F">
      <w:pPr>
        <w:spacing w:after="40"/>
      </w:pPr>
    </w:p>
    <w:tbl>
      <w:tblPr>
        <w:tblW w:w="0" w:type="auto"/>
        <w:jc w:val="center"/>
        <w:tblLook w:val="04A0" w:firstRow="1" w:lastRow="0" w:firstColumn="1" w:lastColumn="0" w:noHBand="0" w:noVBand="1"/>
      </w:tblPr>
      <w:tblGrid>
        <w:gridCol w:w="9936"/>
      </w:tblGrid>
      <w:tr w:rsidR="00014C2F" w14:paraId="5810850B" w14:textId="77777777">
        <w:trPr>
          <w:jc w:val="center"/>
        </w:trPr>
        <w:tc>
          <w:tcPr>
            <w:tcW w:w="9936" w:type="dxa"/>
            <w:shd w:val="clear" w:color="auto" w:fill="EAF3F5"/>
            <w:tcMar>
              <w:top w:w="160" w:type="dxa"/>
              <w:left w:w="180" w:type="dxa"/>
              <w:bottom w:w="160" w:type="dxa"/>
              <w:right w:w="180" w:type="dxa"/>
            </w:tcMar>
          </w:tcPr>
          <w:p w14:paraId="6FE1E5FA" w14:textId="77777777" w:rsidR="00014C2F" w:rsidRDefault="008A77ED">
            <w:r>
              <w:rPr>
                <w:b/>
                <w:color w:val="007C83"/>
                <w:sz w:val="22"/>
              </w:rPr>
              <w:t xml:space="preserve">Decision rule  </w:t>
            </w:r>
            <w:r>
              <w:t>If any question has no named owner, written answer or measurable evidence, the programme is not ready to move money.</w:t>
            </w:r>
          </w:p>
        </w:tc>
      </w:tr>
    </w:tbl>
    <w:p w14:paraId="45FB0818" w14:textId="77777777" w:rsidR="00014C2F" w:rsidRDefault="00014C2F">
      <w:pPr>
        <w:spacing w:after="20"/>
      </w:pPr>
    </w:p>
    <w:p w14:paraId="071E4E01" w14:textId="77777777" w:rsidR="00014C2F" w:rsidRDefault="008A77ED">
      <w:pPr>
        <w:pStyle w:val="Heading1"/>
      </w:pPr>
      <w:r>
        <w:t>References</w:t>
      </w:r>
    </w:p>
    <w:p w14:paraId="0202D84D" w14:textId="77777777" w:rsidR="00014C2F" w:rsidRDefault="008A77ED">
      <w:pPr>
        <w:spacing w:after="80"/>
        <w:ind w:left="360" w:hanging="360"/>
      </w:pPr>
      <w:r>
        <w:rPr>
          <w:sz w:val="17"/>
        </w:rPr>
        <w:t>Adyen. (n.d.-a). Deposit reserves. Adyen Docs. https://docs.adyen.com/risk-management/deposit-reserves/</w:t>
      </w:r>
    </w:p>
    <w:p w14:paraId="2A04526E" w14:textId="77777777" w:rsidR="00014C2F" w:rsidRDefault="008A77ED">
      <w:pPr>
        <w:spacing w:after="80"/>
        <w:ind w:left="360" w:hanging="360"/>
      </w:pPr>
      <w:r>
        <w:rPr>
          <w:sz w:val="17"/>
        </w:rPr>
        <w:t>Adyen. (n.d.-b). Instant payouts. Adyen Docs. https://docs.adyen.com/marketplaces/payout-to-users/instant-payouts/</w:t>
      </w:r>
    </w:p>
    <w:p w14:paraId="6F5E02C0" w14:textId="77777777" w:rsidR="00014C2F" w:rsidRDefault="008A77ED">
      <w:pPr>
        <w:spacing w:after="80"/>
        <w:ind w:left="360" w:hanging="360"/>
      </w:pPr>
      <w:r>
        <w:rPr>
          <w:sz w:val="17"/>
        </w:rPr>
        <w:t>Bank for International Settlements. (2023). Blueprint for the future monetary system: Improving the old, enabling the new. In Annual Economic Report 2023, Chapter III. https://www.bis.org/publ/arpdf/ar2023e3.htm</w:t>
      </w:r>
    </w:p>
    <w:p w14:paraId="0048BF53" w14:textId="77777777" w:rsidR="00014C2F" w:rsidRDefault="008A77ED">
      <w:pPr>
        <w:spacing w:after="80"/>
        <w:ind w:left="360" w:hanging="360"/>
      </w:pPr>
      <w:r>
        <w:rPr>
          <w:sz w:val="17"/>
        </w:rPr>
        <w:t>BIS Innovation Hub. (2024). Project Agorá: Exploring tokenisation of cross-border payments. https://www.bis.org/about/bisih/topics/fmis/agora.htm</w:t>
      </w:r>
    </w:p>
    <w:p w14:paraId="42972E44" w14:textId="77777777" w:rsidR="00014C2F" w:rsidRDefault="008A77ED">
      <w:pPr>
        <w:spacing w:after="80"/>
        <w:ind w:left="360" w:hanging="360"/>
      </w:pPr>
      <w:r>
        <w:rPr>
          <w:sz w:val="17"/>
        </w:rPr>
        <w:t>Board of Governors of the Federal Reserve System. (2023). FedNow Service: Fraud mitigation tools and resources. https://www.frbservices.org/financial-services/fednow</w:t>
      </w:r>
    </w:p>
    <w:p w14:paraId="7B10814E" w14:textId="77777777" w:rsidR="00014C2F" w:rsidRDefault="008A77ED">
      <w:pPr>
        <w:spacing w:after="80"/>
        <w:ind w:left="360" w:hanging="360"/>
      </w:pPr>
      <w:r>
        <w:rPr>
          <w:sz w:val="17"/>
        </w:rPr>
        <w:t>Confidential Computing Consortium. (2023). A technical analysis of confidential computing. Linux Foundation. https://confidentialcomputing.io/</w:t>
      </w:r>
    </w:p>
    <w:p w14:paraId="4E5B1421" w14:textId="77777777" w:rsidR="00014C2F" w:rsidRDefault="008A77ED">
      <w:pPr>
        <w:spacing w:after="80"/>
        <w:ind w:left="360" w:hanging="360"/>
      </w:pPr>
      <w:r>
        <w:rPr>
          <w:sz w:val="17"/>
        </w:rPr>
        <w:t>European Banking Authority, &amp; European Central Bank. (2025). Joint report on payment fraud. https://www.eba.europa.eu/</w:t>
      </w:r>
    </w:p>
    <w:p w14:paraId="3A0CDBF6" w14:textId="77777777" w:rsidR="00014C2F" w:rsidRDefault="008A77ED">
      <w:pPr>
        <w:spacing w:after="80"/>
        <w:ind w:left="360" w:hanging="360"/>
      </w:pPr>
      <w:r>
        <w:rPr>
          <w:sz w:val="17"/>
        </w:rPr>
        <w:t>European Parliament and Council of the European Union. (2024). Regulation (EU) 2024/886 as regards instant credit transfers in euro. Official Journal of the European Union.</w:t>
      </w:r>
    </w:p>
    <w:p w14:paraId="5BAEA23A" w14:textId="77777777" w:rsidR="00014C2F" w:rsidRDefault="008A77ED">
      <w:pPr>
        <w:spacing w:after="80"/>
        <w:ind w:left="360" w:hanging="360"/>
      </w:pPr>
      <w:r>
        <w:rPr>
          <w:sz w:val="17"/>
        </w:rPr>
        <w:t>Federal Trade Commission. (2021). In the Matter of First American Payment Systems, L.P. (FTC File No. 192 3135). https://www.ftc.gov/legal-library/browse/cases-proceedings/first-american-payment-systems</w:t>
      </w:r>
    </w:p>
    <w:p w14:paraId="742A292C" w14:textId="77777777" w:rsidR="00014C2F" w:rsidRDefault="008A77ED">
      <w:pPr>
        <w:spacing w:after="80"/>
        <w:ind w:left="360" w:hanging="360"/>
      </w:pPr>
      <w:r>
        <w:rPr>
          <w:sz w:val="17"/>
        </w:rPr>
        <w:t>Financial Stability Board. (2020). Enhancing cross-border payments: Stage 3 roadmap. https://www.fsb.org/2020/10/enhancing-cross-border-payments-stage-3-roadmap/</w:t>
      </w:r>
    </w:p>
    <w:p w14:paraId="0F23C15F" w14:textId="77777777" w:rsidR="00014C2F" w:rsidRDefault="008A77ED">
      <w:pPr>
        <w:spacing w:after="80"/>
        <w:ind w:left="360" w:hanging="360"/>
      </w:pPr>
      <w:r>
        <w:rPr>
          <w:sz w:val="17"/>
        </w:rPr>
        <w:lastRenderedPageBreak/>
        <w:t>Financial Stability Board. (2023). Recommendations for achieving greater convergence in cyber incident reporting. https://www.fsb.org/</w:t>
      </w:r>
    </w:p>
    <w:p w14:paraId="0A485286" w14:textId="77777777" w:rsidR="00014C2F" w:rsidRDefault="008A77ED">
      <w:pPr>
        <w:spacing w:after="80"/>
        <w:ind w:left="360" w:hanging="360"/>
      </w:pPr>
      <w:r>
        <w:rPr>
          <w:sz w:val="17"/>
        </w:rPr>
        <w:t>International Organization for Standardization. (2022). ISO/IEC 27001:2022 information security management systems—Requirements. ISO.</w:t>
      </w:r>
    </w:p>
    <w:p w14:paraId="7D43D8EB" w14:textId="77777777" w:rsidR="00014C2F" w:rsidRDefault="008A77ED">
      <w:pPr>
        <w:spacing w:after="80"/>
        <w:ind w:left="360" w:hanging="360"/>
      </w:pPr>
      <w:r>
        <w:rPr>
          <w:sz w:val="17"/>
        </w:rPr>
        <w:t>Mastercard. (n.d.). Merchant monitoring solutions. https://www.mastercard.com/</w:t>
      </w:r>
    </w:p>
    <w:p w14:paraId="6F175C58" w14:textId="77777777" w:rsidR="00014C2F" w:rsidRDefault="008A77ED">
      <w:pPr>
        <w:spacing w:after="80"/>
        <w:ind w:left="360" w:hanging="360"/>
      </w:pPr>
      <w:r>
        <w:rPr>
          <w:sz w:val="17"/>
        </w:rPr>
        <w:t>National Institute of Standards and Technology. (2023). AI Risk Management Framework (AI RMF 1.0) (NIST AI 100-1). https://doi.org/10.6028/NIST.AI.100-1</w:t>
      </w:r>
    </w:p>
    <w:p w14:paraId="3F25A9E6" w14:textId="77777777" w:rsidR="00014C2F" w:rsidRDefault="008A77ED">
      <w:pPr>
        <w:spacing w:after="80"/>
        <w:ind w:left="360" w:hanging="360"/>
      </w:pPr>
      <w:r>
        <w:rPr>
          <w:sz w:val="17"/>
        </w:rPr>
        <w:t>National Institute of Standards and Technology. (2024). Privacy-enhancing cryptography. https://csrc.nist.gov/projects/pec</w:t>
      </w:r>
    </w:p>
    <w:p w14:paraId="5DDE5F4D" w14:textId="77777777" w:rsidR="00014C2F" w:rsidRDefault="008A77ED">
      <w:pPr>
        <w:spacing w:after="80"/>
        <w:ind w:left="360" w:hanging="360"/>
      </w:pPr>
      <w:r>
        <w:rPr>
          <w:sz w:val="17"/>
        </w:rPr>
        <w:t>National Payments Corporation of India. (2024). UPI product statistics. https://www.npci.org.in/what-we-do/upi/product-statistics</w:t>
      </w:r>
    </w:p>
    <w:p w14:paraId="6FEB6376" w14:textId="77777777" w:rsidR="00014C2F" w:rsidRDefault="008A77ED">
      <w:pPr>
        <w:spacing w:after="80"/>
        <w:ind w:left="360" w:hanging="360"/>
      </w:pPr>
      <w:r>
        <w:rPr>
          <w:sz w:val="17"/>
        </w:rPr>
        <w:t>Organisation for Economic Co-operation and Development. (2019). Recommendation of the Council on Artificial Intelligence. https://legalinstruments.oecd.org/en/instruments/OECD-LEGAL-0449</w:t>
      </w:r>
    </w:p>
    <w:p w14:paraId="324E43DF" w14:textId="77777777" w:rsidR="00014C2F" w:rsidRDefault="008A77ED">
      <w:pPr>
        <w:spacing w:after="80"/>
        <w:ind w:left="360" w:hanging="360"/>
      </w:pPr>
      <w:r>
        <w:rPr>
          <w:sz w:val="17"/>
        </w:rPr>
        <w:t>Payment Card Industry Security Standards Council. (2024). Payment Card Industry Data Security Standard: Requirements and testing procedures, version 4.0.1. https://www.pcisecuritystandards.org/</w:t>
      </w:r>
    </w:p>
    <w:p w14:paraId="791FE0AB" w14:textId="77777777" w:rsidR="00014C2F" w:rsidRDefault="008A77ED">
      <w:pPr>
        <w:spacing w:after="80"/>
        <w:ind w:left="360" w:hanging="360"/>
      </w:pPr>
      <w:r>
        <w:rPr>
          <w:sz w:val="17"/>
        </w:rPr>
        <w:t>Payment Systems Regulator. (2023). Fighting authorised push payment fraud: A new reimbursement requirement (PS23/3). https://www.psr.org.uk/publications/policy-statements/ps23-3-app-fraud-reimbursement-policy-statement/</w:t>
      </w:r>
    </w:p>
    <w:p w14:paraId="4231CF9A" w14:textId="77777777" w:rsidR="00014C2F" w:rsidRDefault="008A77ED">
      <w:pPr>
        <w:spacing w:after="80"/>
        <w:ind w:left="360" w:hanging="360"/>
      </w:pPr>
      <w:r>
        <w:rPr>
          <w:sz w:val="17"/>
        </w:rPr>
        <w:t>Reserve Bank of India. (2020). Guidelines on regulation of payment aggregators and payment gateways. https://www.rbi.org.in/</w:t>
      </w:r>
    </w:p>
    <w:p w14:paraId="73828989" w14:textId="77777777" w:rsidR="00014C2F" w:rsidRDefault="008A77ED">
      <w:pPr>
        <w:spacing w:after="80"/>
        <w:ind w:left="360" w:hanging="360"/>
      </w:pPr>
      <w:r>
        <w:rPr>
          <w:sz w:val="17"/>
        </w:rPr>
        <w:t>Stripe. (n.d.-a). Reserves. Stripe Docs. https://docs.stripe.com/connect/connected-account-reserves</w:t>
      </w:r>
    </w:p>
    <w:p w14:paraId="330CE613" w14:textId="77777777" w:rsidR="00014C2F" w:rsidRDefault="008A77ED">
      <w:pPr>
        <w:spacing w:after="80"/>
        <w:ind w:left="360" w:hanging="360"/>
      </w:pPr>
      <w:r>
        <w:rPr>
          <w:sz w:val="17"/>
        </w:rPr>
        <w:t>Stripe. (n.d.-b). Instant payouts. Stripe Docs. https://docs.stripe.com/payouts/instant-payouts</w:t>
      </w:r>
    </w:p>
    <w:p w14:paraId="503BEBC5" w14:textId="77777777" w:rsidR="00014C2F" w:rsidRDefault="008A77ED">
      <w:pPr>
        <w:spacing w:after="80"/>
        <w:ind w:left="360" w:hanging="360"/>
      </w:pPr>
      <w:r>
        <w:rPr>
          <w:sz w:val="17"/>
        </w:rPr>
        <w:t>UK Finance. (2025). Annual fraud report 2025. https://www.ukfinance.org.uk/policy-and-guidance/reports-publications/annual-fraud-report-2025</w:t>
      </w:r>
    </w:p>
    <w:p w14:paraId="78AD76E4" w14:textId="77777777" w:rsidR="00014C2F" w:rsidRDefault="008A77ED">
      <w:pPr>
        <w:spacing w:after="80"/>
        <w:ind w:left="360" w:hanging="360"/>
      </w:pPr>
      <w:r>
        <w:rPr>
          <w:sz w:val="17"/>
        </w:rPr>
        <w:t>Veenkatesaramani, R., et al. (2022). Privacy-preserving graph analytics: A survey. ACM Computing Surveys, 55(8), 1–38.</w:t>
      </w:r>
    </w:p>
    <w:p w14:paraId="23C6100F" w14:textId="77777777" w:rsidR="00014C2F" w:rsidRDefault="008A77ED">
      <w:pPr>
        <w:spacing w:after="80"/>
        <w:ind w:left="360" w:hanging="360"/>
      </w:pPr>
      <w:r>
        <w:rPr>
          <w:sz w:val="17"/>
        </w:rPr>
        <w:t>Visa. (2025). Visa Acquirer Monitoring Program. Visa Business News and public programme materials. https://usa.visa.com/support/consumer/visa-rules.html</w:t>
      </w:r>
    </w:p>
    <w:p w14:paraId="2CAAD1EC" w14:textId="77777777" w:rsidR="00014C2F" w:rsidRDefault="008A77ED">
      <w:pPr>
        <w:spacing w:after="80"/>
        <w:ind w:left="360" w:hanging="360"/>
      </w:pPr>
      <w:r>
        <w:rPr>
          <w:sz w:val="17"/>
        </w:rPr>
        <w:t>World Wide Web Consortium. (2025). Verifiable Credentials Data Model v2.0. W3C Recommendation. https://www.w3.org/TR/vc-data-model-2.0/</w:t>
      </w:r>
    </w:p>
    <w:p w14:paraId="1E218ABD" w14:textId="77777777" w:rsidR="00014C2F" w:rsidRDefault="008A77ED">
      <w:pPr>
        <w:spacing w:after="80"/>
        <w:ind w:left="360" w:hanging="360"/>
      </w:pPr>
      <w:r>
        <w:rPr>
          <w:sz w:val="17"/>
        </w:rPr>
        <w:t>World Bank. (2020). Payment aspects of financial inclusion in the fintech era. https://www.worldbank.org/</w:t>
      </w:r>
    </w:p>
    <w:p w14:paraId="0A5EEA3C" w14:textId="77777777" w:rsidR="00014C2F" w:rsidRDefault="008A77ED">
      <w:pPr>
        <w:spacing w:after="80"/>
        <w:ind w:left="360" w:hanging="360"/>
      </w:pPr>
      <w:r>
        <w:rPr>
          <w:sz w:val="17"/>
        </w:rPr>
        <w:t>World Economic Forum. (2020). The future of media, monetary and payment systems: Digital currency governance consortium white paper series. https://www.weforum.org/</w:t>
      </w:r>
    </w:p>
    <w:p w14:paraId="339FF28A" w14:textId="77777777" w:rsidR="00014C2F" w:rsidRDefault="008A77ED">
      <w:pPr>
        <w:spacing w:after="80"/>
        <w:ind w:left="360" w:hanging="360"/>
      </w:pPr>
      <w:r>
        <w:rPr>
          <w:sz w:val="17"/>
        </w:rPr>
        <w:t>Zetzsche, D. A., Arner, D. W., Buckley, R. P., &amp; Weber, R. H. (2020). The evolution and future of data-driven finance in the EU. Common Market Law Review, 57(2), 331–360.</w:t>
      </w:r>
    </w:p>
    <w:p w14:paraId="53128261" w14:textId="5AAC05B8" w:rsidR="00014C2F" w:rsidRDefault="00014C2F" w:rsidP="00EE0B8F"/>
    <w:sectPr w:rsidR="00014C2F" w:rsidSect="00034616">
      <w:headerReference w:type="default" r:id="rId9"/>
      <w:footerReference w:type="default" r:id="rId10"/>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441B3" w14:textId="77777777" w:rsidR="008A77ED" w:rsidRDefault="008A77ED">
      <w:pPr>
        <w:spacing w:after="0" w:line="240" w:lineRule="auto"/>
      </w:pPr>
      <w:r>
        <w:separator/>
      </w:r>
    </w:p>
  </w:endnote>
  <w:endnote w:type="continuationSeparator" w:id="0">
    <w:p w14:paraId="3EF3F698" w14:textId="77777777" w:rsidR="008A77ED" w:rsidRDefault="008A7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EAAF" w14:textId="3213FA89" w:rsidR="00014C2F" w:rsidRDefault="008A77ED">
    <w:pPr>
      <w:pStyle w:val="Footer"/>
      <w:jc w:val="center"/>
    </w:pPr>
    <w:r>
      <w:rPr>
        <w:color w:val="5B6573"/>
        <w:sz w:val="16"/>
      </w:rPr>
      <w:t xml:space="preserve">Atul Joshi  •  Paid in Seconds, Liable for Months  •  </w:t>
    </w:r>
    <w:r>
      <w:fldChar w:fldCharType="begin"/>
    </w:r>
    <w:r>
      <w:instrText>PAGE</w:instrText>
    </w:r>
    <w:r>
      <w:fldChar w:fldCharType="separate"/>
    </w:r>
    <w:r w:rsidR="008314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0CE0" w14:textId="77777777" w:rsidR="008A77ED" w:rsidRDefault="008A77ED">
      <w:pPr>
        <w:spacing w:after="0" w:line="240" w:lineRule="auto"/>
      </w:pPr>
      <w:r>
        <w:separator/>
      </w:r>
    </w:p>
  </w:footnote>
  <w:footnote w:type="continuationSeparator" w:id="0">
    <w:p w14:paraId="68B4917C" w14:textId="77777777" w:rsidR="008A77ED" w:rsidRDefault="008A7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1161" w14:textId="77777777" w:rsidR="00014C2F" w:rsidRDefault="008A77ED">
    <w:pPr>
      <w:pStyle w:val="Header"/>
      <w:jc w:val="right"/>
    </w:pPr>
    <w:r>
      <w:rPr>
        <w:b/>
        <w:color w:val="007C83"/>
        <w:sz w:val="16"/>
      </w:rPr>
      <w:t>EDGE OF TOMORROW  |  PRACTITIONER ANTHOLOGY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417622">
    <w:abstractNumId w:val="8"/>
  </w:num>
  <w:num w:numId="2" w16cid:durableId="1295062155">
    <w:abstractNumId w:val="6"/>
  </w:num>
  <w:num w:numId="3" w16cid:durableId="632949905">
    <w:abstractNumId w:val="5"/>
  </w:num>
  <w:num w:numId="4" w16cid:durableId="846796433">
    <w:abstractNumId w:val="4"/>
  </w:num>
  <w:num w:numId="5" w16cid:durableId="777336002">
    <w:abstractNumId w:val="7"/>
  </w:num>
  <w:num w:numId="6" w16cid:durableId="856626360">
    <w:abstractNumId w:val="3"/>
  </w:num>
  <w:num w:numId="7" w16cid:durableId="1986474529">
    <w:abstractNumId w:val="2"/>
  </w:num>
  <w:num w:numId="8" w16cid:durableId="298076933">
    <w:abstractNumId w:val="1"/>
  </w:num>
  <w:num w:numId="9" w16cid:durableId="1615943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C2F"/>
    <w:rsid w:val="00034616"/>
    <w:rsid w:val="0006063C"/>
    <w:rsid w:val="0015074B"/>
    <w:rsid w:val="0029639D"/>
    <w:rsid w:val="00326F90"/>
    <w:rsid w:val="004C1012"/>
    <w:rsid w:val="00831437"/>
    <w:rsid w:val="008A77ED"/>
    <w:rsid w:val="008B46D9"/>
    <w:rsid w:val="00AA1D8D"/>
    <w:rsid w:val="00B47730"/>
    <w:rsid w:val="00CB0664"/>
    <w:rsid w:val="00EE0B8F"/>
    <w:rsid w:val="00FC693F"/>
    <w:rsid w:val="15C7ED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753EF0-3E49-4178-91FA-EDDA5253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2304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C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6A2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7C8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Standar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5169</Words>
  <Characters>33084</Characters>
  <Application>Microsoft Office Word</Application>
  <DocSecurity>0</DocSecurity>
  <Lines>580</Lines>
  <Paragraphs>296</Paragraphs>
  <ScaleCrop>false</ScaleCrop>
  <Manager/>
  <Company/>
  <LinksUpToDate>false</LinksUpToDate>
  <CharactersWithSpaces>37957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Paid in Seconds, Liable for Months: Rewiring Merchant Settlement for Delayed Risk</dc:title>
  <dc:subject>Edge of Tomorrow — Assignment 2</dc:subject>
  <dc:creator>Atul Joshi</dc:creator>
  <cp:keywords/>
  <dc:description>generated by python-docx</dc:description>
  <cp:lastModifiedBy>Joshi, Atul</cp:lastModifiedBy>
  <cp:revision>4</cp:revision>
  <dcterms:created xsi:type="dcterms:W3CDTF">2026-10-03T09:06:00Z</dcterms:created>
  <dcterms:modified xsi:type="dcterms:W3CDTF">2026-10-03T09:07:00Z</dcterms:modified>
  <cp:category/>
</cp:coreProperties>
</file>