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4: Wilcoxon Results (Non-log2 Data) - Median [Q1, Q3]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3591"/>
        <w:gridCol w:w="3591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3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51907.9 [40355.6, 817087.4]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48404.4 [35687.1, 680136.8]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61021.6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72509.2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0.229</w:t>
            </w:r>
          </w:p>
        </w:tc>
      </w:tr>
      <w:tr>
        <w:trPr>
          <w:trHeight w:val="613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40265.4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47086.1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</w:t>
            </w:r>
          </w:p>
        </w:tc>
      </w:tr>
      <w:tr>
        <w:trPr>
          <w:trHeight w:val="62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1073402.8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882679.3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1069109.3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1114090.3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</w:tr>
      <w:tr>
        <w:trPr>
          <w:trHeight w:val="613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55270.1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52819.4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40626.2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35586.3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3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29769.5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32400.5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1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58188.4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56819.3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49080.3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35989.4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0.816</w:t>
            </w:r>
          </w:p>
        </w:tc>
      </w:tr>
      <w:tr>
        <w:trPr>
          <w:trHeight w:val="613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25668.3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27330.6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62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1129031.8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1148699.4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25992631.8 [40355.6, 817087.4]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32583663.5 [35687.1, 680136.8]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20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29134.5 [40355.6, 817087.4]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28303.1 [35687.1, 680136.8]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2025-12-23T17:43:27Z</dcterms:modified>
  <cp:category/>
</cp:coreProperties>
</file>