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 5: Patient-level Analysis - Median [Q1, Q3]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3591"/>
        <w:gridCol w:w="3591"/>
        <w:gridCol w:w="1181"/>
        <w:gridCol w:w="961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Patients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Patients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FDR</w:t>
            </w:r>
          </w:p>
        </w:tc>
      </w:tr>
      <w:tr>
        <w:trPr>
          <w:trHeight w:val="613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39913.3 [40589.1, 819778.9]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46237.8 [34534.5, 725950.9]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3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53399.5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1113830.2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71787.7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24009696.5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47028.3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33211.5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42616.6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38503.5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1072457.4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943764.8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3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31152.1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32443.2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3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55603.5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25373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13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58447.4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61011.6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21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1119517.6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29317.1 [40589.1, 819778.9]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27403.3 [34534.5, 725950.9]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2025-12-23T16:52:41Z</dcterms:modified>
  <cp:category/>
</cp:coreProperties>
</file>