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2: T-test Results (Log2 Analysis) - Mean (SD)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821"/>
        <w:gridCol w:w="2821"/>
        <w:gridCol w:w="3057"/>
        <w:gridCol w:w="1181"/>
      </w:tblGrid>
      <w:tr>
        <w:trPr>
          <w:trHeight w:val="62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Fold Change (2R+/0R-1R)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50653.9 (6405330.7)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74606.9 (5503120.8)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38271.3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46432.2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52513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46547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25499.3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20477.6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56677.9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52753.7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838791.5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658164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29634.2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32237.3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1065515.6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1099750.3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24160375.1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20772171.8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46571.2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34772.6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24470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20589.3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24615.7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22334.9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718574.5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745897.4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37493.2 (6405330.7)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38610.4 (5503120.8)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3: Wilcoxon Results (Log2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408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[40355.3, 522561.6]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 [35673.2, 472498]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72499.5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47084.5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882581.7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1114088.3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52804.8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35584.3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56727.7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35941.3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27316.6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1148535.1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32568561.2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[40355.3, 522561.6]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28295 [35673.2, 472498]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4: Wilcoxon Results (Non-log2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[40355.6, 817087.4]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[35687.1, 680136.8]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47086.1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882679.3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1114090.3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56819.3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35989.4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[40355.6, 817087.4]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28303.1 [35687.1, 680136.8]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5: Patient-level Analysis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39913.3 [40589.1, 819778.9]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46237.8 [34534.5, 725950.9]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53399.5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1113830.2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24009696.5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47028.3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33211.5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42616.6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38503.5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943764.8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31152.1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32443.2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55603.5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61011.6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1119517.6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29317.1 [40589.1, 819778.9]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27403.3 [34534.5, 725950.9]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2025-12-23T11:52:35Z</dcterms:modified>
  <cp:category/>
</cp:coreProperties>
</file>