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Summary of Statistical Analysis Results for Metabolomics ACR Study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208"/>
        <w:gridCol w:w="2434"/>
        <w:gridCol w:w="1792"/>
        <w:gridCol w:w="2561"/>
        <w:gridCol w:w="3125"/>
        <w:gridCol w:w="1633"/>
        <w:gridCol w:w="1682"/>
      </w:tblGrid>
      <w:tr>
        <w:trPr>
          <w:trHeight w:val="62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Analysis 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Metabolites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 (p&lt;0.05)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Significant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P-values: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P-values: Median [Q1, Q3]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 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 P-value</w:t>
            </w:r>
          </w:p>
        </w:tc>
      </w:tr>
      <w:tr>
        <w:trPr>
          <w:trHeight w:val="62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T-tests (Non-log2)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 ± 0.247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[0.325, 0.644]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0.8603</w:t>
            </w:r>
          </w:p>
        </w:tc>
      </w:tr>
      <w:tr>
        <w:trPr>
          <w:trHeight w:val="62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(Log2)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 ± 0.312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 [0.282, 0.858]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0.9976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(Non-log2)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 ± 0.312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 [0.282, 0.858]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0.9976</w:t>
            </w:r>
          </w:p>
        </w:tc>
      </w:tr>
      <w:tr>
        <w:trPr>
          <w:trHeight w:val="613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Patient-level Wilcoxon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 ± 0.182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 [0.331, 0.52]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2025-12-22T22:43:03Z</dcterms:modified>
  <cp:category/>
</cp:coreProperties>
</file>