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2917" w14:textId="2B344623" w:rsidR="002768CA" w:rsidRPr="002E7D7C" w:rsidRDefault="00DD1701" w:rsidP="002768CA">
      <w:r w:rsidRPr="002E7D7C">
        <w:t>Tässä harjoituksessa</w:t>
      </w:r>
      <w:r w:rsidR="00243D0E">
        <w:t xml:space="preserve"> </w:t>
      </w:r>
      <w:r w:rsidRPr="002E7D7C">
        <w:t>käytän tilastotieteen perusmenetelmiä sekä ohjaamattoman oppimisen menetelmiä annetun datan kuvailuun ja analyysiin. Työn tarkoituksena on valmistella data analyysiä varten, tehdä analyysi datalle, vastata tutkimuskysymyksiin sekä esittää yhteenveto analyysistä.</w:t>
      </w:r>
    </w:p>
    <w:p w14:paraId="61AF8938" w14:textId="4B00875A" w:rsidR="002768CA" w:rsidRDefault="002768CA" w:rsidP="00243D0E">
      <w:pPr>
        <w:pStyle w:val="Heading2"/>
        <w:numPr>
          <w:ilvl w:val="0"/>
          <w:numId w:val="4"/>
        </w:numPr>
        <w:rPr>
          <w:lang w:val="fi-FI"/>
        </w:rPr>
      </w:pPr>
      <w:r w:rsidRPr="002E7D7C">
        <w:rPr>
          <w:lang w:val="fi-FI"/>
        </w:rPr>
        <w:t>Datan kuvailu ja preprosessointi</w:t>
      </w:r>
    </w:p>
    <w:p w14:paraId="314FBA41" w14:textId="1A88BF0B" w:rsidR="005668D0" w:rsidRDefault="00243D0E" w:rsidP="00243D0E">
      <w:r>
        <w:t xml:space="preserve">Aloitetaan datan yleisellä kuvailulla. Datasetissä on 300 riviä dataa ja 11 saraketta muuttujia. Sarakkeet voidaan jakaa kolmeen kategoriaan. Numeerisia muuttujia on 7, </w:t>
      </w:r>
      <w:r w:rsidR="005668D0">
        <w:t>kategorisia muuttujia on 2 ja tutkijoihin liittyviä muuttujia on 2. Datasetissä ei ole puuttuvia arvoja, mutta duplikaattiarvoja on 20 kappaletta.</w:t>
      </w:r>
    </w:p>
    <w:p w14:paraId="7E802017" w14:textId="03FAC95D" w:rsidR="005668D0" w:rsidRDefault="005668D0" w:rsidP="00243D0E">
      <w:r>
        <w:t xml:space="preserve">Käytetään numeerisia ja kategorisia muuttujia analyysiin ja </w:t>
      </w:r>
      <w:proofErr w:type="spellStart"/>
      <w:r>
        <w:t>klusterointiin</w:t>
      </w:r>
      <w:proofErr w:type="spellEnd"/>
      <w:r>
        <w:t xml:space="preserve">. Verrataan </w:t>
      </w:r>
      <w:proofErr w:type="spellStart"/>
      <w:r>
        <w:t>klusterointia</w:t>
      </w:r>
      <w:proofErr w:type="spellEnd"/>
      <w:r>
        <w:t xml:space="preserve"> tutkijoiden luokitteluun, jonka avulla voidaan arvioida ovatko tutkijat onnistuneet puiden luokittelussa. Käytetään numeerisia ja kategorisia muuttujia selvittämään mitkä muuttujat ovat enemmän ja mitkä vähemmän informatiivisia, jotta jatkossa voidaan vähentää turhan datan keruuta.</w:t>
      </w:r>
    </w:p>
    <w:p w14:paraId="2762F068" w14:textId="4D455E00" w:rsidR="005668D0" w:rsidRDefault="005668D0" w:rsidP="00243D0E">
      <w:r>
        <w:t>Numeeriset muuttujat saavat seuraavia tilastollisia arvoja</w:t>
      </w:r>
      <w:r w:rsidRPr="005668D0">
        <w:drawing>
          <wp:inline distT="0" distB="0" distL="0" distR="0" wp14:anchorId="546C3D46" wp14:editId="6817FFEF">
            <wp:extent cx="5731510" cy="1644650"/>
            <wp:effectExtent l="0" t="0" r="2540" b="0"/>
            <wp:docPr id="62644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48238" name=""/>
                    <pic:cNvPicPr/>
                  </pic:nvPicPr>
                  <pic:blipFill>
                    <a:blip r:embed="rId7"/>
                    <a:stretch>
                      <a:fillRect/>
                    </a:stretch>
                  </pic:blipFill>
                  <pic:spPr>
                    <a:xfrm>
                      <a:off x="0" y="0"/>
                      <a:ext cx="5731510" cy="1644650"/>
                    </a:xfrm>
                    <a:prstGeom prst="rect">
                      <a:avLst/>
                    </a:prstGeom>
                  </pic:spPr>
                </pic:pic>
              </a:graphicData>
            </a:graphic>
          </wp:inline>
        </w:drawing>
      </w:r>
    </w:p>
    <w:p w14:paraId="6CAAF091" w14:textId="2E1349FC" w:rsidR="005668D0" w:rsidRDefault="005668D0" w:rsidP="00243D0E">
      <w:r>
        <w:t>Taulukosta nähdään seuraavat tilastolliset arvot lukumäärä, keskiarvo, keskihajonta, pienin ja suurin arvo</w:t>
      </w:r>
      <w:r w:rsidR="00BC2C12">
        <w:t xml:space="preserve"> sekä kvartaalit Q1, Q2 ja Q3. Näiden tilastojen vertaus toisiinsa ei ole mielekästä tässä vaiheessa, koska muuttujan skaala vaikuttaa näiden arvojen suuruuteen. Ainoa poikkeava arvo on käpyjen pienin lukumäärä, joka on -10. Tämä ei ole mahdollista, joten korjataan tilanne. Oletetaan, että negatiivinen etuliite on näppäilyvirhe ja otetaan jokaisen kävyn itseisarvo ja asetetaan se jokaisen rivin arvoksi tässä sarakkeessa.</w:t>
      </w:r>
    </w:p>
    <w:p w14:paraId="1B36039C" w14:textId="4ED5CBA5" w:rsidR="006A3857" w:rsidRDefault="006A3857" w:rsidP="006A3857">
      <w:pPr>
        <w:tabs>
          <w:tab w:val="left" w:pos="5780"/>
        </w:tabs>
      </w:pPr>
      <w:r>
        <w:tab/>
      </w:r>
    </w:p>
    <w:p w14:paraId="57198E75" w14:textId="55FDF6F6" w:rsidR="002E7D7C" w:rsidRDefault="006A3857" w:rsidP="002E7D7C">
      <w:r>
        <w:t>Tarkastellaan numeeristen muuttujien laatikkokuvaajia</w:t>
      </w:r>
      <w:r w:rsidR="00403DA1">
        <w:rPr>
          <w:noProof/>
        </w:rPr>
        <w:drawing>
          <wp:inline distT="0" distB="0" distL="0" distR="0" wp14:anchorId="4CFB57E8" wp14:editId="1052AEA0">
            <wp:extent cx="2940336" cy="2057400"/>
            <wp:effectExtent l="0" t="0" r="0" b="0"/>
            <wp:docPr id="1203797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5004" cy="2081658"/>
                    </a:xfrm>
                    <a:prstGeom prst="rect">
                      <a:avLst/>
                    </a:prstGeom>
                    <a:noFill/>
                    <a:ln>
                      <a:noFill/>
                    </a:ln>
                  </pic:spPr>
                </pic:pic>
              </a:graphicData>
            </a:graphic>
          </wp:inline>
        </w:drawing>
      </w:r>
      <w:r w:rsidR="00403DA1">
        <w:rPr>
          <w:noProof/>
        </w:rPr>
        <w:drawing>
          <wp:inline distT="0" distB="0" distL="0" distR="0" wp14:anchorId="6A073B5D" wp14:editId="00B7FF95">
            <wp:extent cx="2786621" cy="1937657"/>
            <wp:effectExtent l="0" t="0" r="0" b="5715"/>
            <wp:docPr id="1713211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4351" cy="1949986"/>
                    </a:xfrm>
                    <a:prstGeom prst="rect">
                      <a:avLst/>
                    </a:prstGeom>
                    <a:noFill/>
                    <a:ln>
                      <a:noFill/>
                    </a:ln>
                  </pic:spPr>
                </pic:pic>
              </a:graphicData>
            </a:graphic>
          </wp:inline>
        </w:drawing>
      </w:r>
      <w:r w:rsidR="00403DA1">
        <w:rPr>
          <w:noProof/>
        </w:rPr>
        <w:lastRenderedPageBreak/>
        <w:drawing>
          <wp:inline distT="0" distB="0" distL="0" distR="0" wp14:anchorId="318D5CCB" wp14:editId="7C859D0F">
            <wp:extent cx="2873829" cy="1981542"/>
            <wp:effectExtent l="0" t="0" r="3175" b="0"/>
            <wp:docPr id="1797261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4343" cy="1988791"/>
                    </a:xfrm>
                    <a:prstGeom prst="rect">
                      <a:avLst/>
                    </a:prstGeom>
                    <a:noFill/>
                    <a:ln>
                      <a:noFill/>
                    </a:ln>
                  </pic:spPr>
                </pic:pic>
              </a:graphicData>
            </a:graphic>
          </wp:inline>
        </w:drawing>
      </w:r>
      <w:r w:rsidR="00403DA1">
        <w:rPr>
          <w:noProof/>
        </w:rPr>
        <w:drawing>
          <wp:inline distT="0" distB="0" distL="0" distR="0" wp14:anchorId="0FD1BF2E" wp14:editId="4E6DCF7C">
            <wp:extent cx="2786048" cy="1926771"/>
            <wp:effectExtent l="0" t="0" r="0" b="0"/>
            <wp:docPr id="42079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0890" cy="1943951"/>
                    </a:xfrm>
                    <a:prstGeom prst="rect">
                      <a:avLst/>
                    </a:prstGeom>
                    <a:noFill/>
                    <a:ln>
                      <a:noFill/>
                    </a:ln>
                  </pic:spPr>
                </pic:pic>
              </a:graphicData>
            </a:graphic>
          </wp:inline>
        </w:drawing>
      </w:r>
      <w:r w:rsidR="00403DA1">
        <w:rPr>
          <w:noProof/>
        </w:rPr>
        <w:drawing>
          <wp:inline distT="0" distB="0" distL="0" distR="0" wp14:anchorId="47ACB5F9" wp14:editId="221E4192">
            <wp:extent cx="2881667" cy="1926771"/>
            <wp:effectExtent l="0" t="0" r="0" b="0"/>
            <wp:docPr id="12561061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9819" cy="1932222"/>
                    </a:xfrm>
                    <a:prstGeom prst="rect">
                      <a:avLst/>
                    </a:prstGeom>
                    <a:noFill/>
                    <a:ln>
                      <a:noFill/>
                    </a:ln>
                  </pic:spPr>
                </pic:pic>
              </a:graphicData>
            </a:graphic>
          </wp:inline>
        </w:drawing>
      </w:r>
      <w:r w:rsidR="00403DA1">
        <w:rPr>
          <w:noProof/>
        </w:rPr>
        <w:drawing>
          <wp:inline distT="0" distB="0" distL="0" distR="0" wp14:anchorId="6FFF25BA" wp14:editId="4FB29F15">
            <wp:extent cx="2794395" cy="1926771"/>
            <wp:effectExtent l="0" t="0" r="6350" b="0"/>
            <wp:docPr id="7480204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24520" cy="1947543"/>
                    </a:xfrm>
                    <a:prstGeom prst="rect">
                      <a:avLst/>
                    </a:prstGeom>
                    <a:noFill/>
                    <a:ln>
                      <a:noFill/>
                    </a:ln>
                  </pic:spPr>
                </pic:pic>
              </a:graphicData>
            </a:graphic>
          </wp:inline>
        </w:drawing>
      </w:r>
      <w:r w:rsidR="00403DA1">
        <w:rPr>
          <w:noProof/>
        </w:rPr>
        <w:drawing>
          <wp:inline distT="0" distB="0" distL="0" distR="0" wp14:anchorId="263BC0AC" wp14:editId="0AF8180F">
            <wp:extent cx="3080658" cy="2106743"/>
            <wp:effectExtent l="0" t="0" r="5715" b="8255"/>
            <wp:docPr id="11759371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4960" cy="2123363"/>
                    </a:xfrm>
                    <a:prstGeom prst="rect">
                      <a:avLst/>
                    </a:prstGeom>
                    <a:noFill/>
                    <a:ln>
                      <a:noFill/>
                    </a:ln>
                  </pic:spPr>
                </pic:pic>
              </a:graphicData>
            </a:graphic>
          </wp:inline>
        </w:drawing>
      </w:r>
    </w:p>
    <w:p w14:paraId="3A347AE8" w14:textId="77777777" w:rsidR="00403DA1" w:rsidRDefault="00403DA1" w:rsidP="002E7D7C"/>
    <w:p w14:paraId="028F9FEF" w14:textId="5AF746ED" w:rsidR="00403DA1" w:rsidRDefault="00403DA1" w:rsidP="002E7D7C">
      <w:r>
        <w:t>Kuvaajista huomataan kaikkien arvojen olevan lähes symmetrisesti jakautuneita. Suurimpia poikkeavia arvoja saadaan siemenen koolla, joka saa suurimman osan arvoistaan hyvin kapealta väliltä, mutta myös paljon poikkeavia arvoja.</w:t>
      </w:r>
    </w:p>
    <w:p w14:paraId="5DB266E1" w14:textId="760846E3" w:rsidR="00403DA1" w:rsidRDefault="00403DA1" w:rsidP="002E7D7C">
      <w:r>
        <w:t xml:space="preserve">Kategorisille muuttujille voidaan myös laskea attribuutteja. </w:t>
      </w:r>
    </w:p>
    <w:p w14:paraId="76760DA8" w14:textId="362F2E50" w:rsidR="00403DA1" w:rsidRDefault="00403DA1" w:rsidP="002E7D7C">
      <w:r w:rsidRPr="00403DA1">
        <w:drawing>
          <wp:inline distT="0" distB="0" distL="0" distR="0" wp14:anchorId="4B1077B2" wp14:editId="51CCD030">
            <wp:extent cx="3696216" cy="1409897"/>
            <wp:effectExtent l="0" t="0" r="0" b="0"/>
            <wp:docPr id="90986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65477" name=""/>
                    <pic:cNvPicPr/>
                  </pic:nvPicPr>
                  <pic:blipFill>
                    <a:blip r:embed="rId15"/>
                    <a:stretch>
                      <a:fillRect/>
                    </a:stretch>
                  </pic:blipFill>
                  <pic:spPr>
                    <a:xfrm>
                      <a:off x="0" y="0"/>
                      <a:ext cx="3696216" cy="1409897"/>
                    </a:xfrm>
                    <a:prstGeom prst="rect">
                      <a:avLst/>
                    </a:prstGeom>
                  </pic:spPr>
                </pic:pic>
              </a:graphicData>
            </a:graphic>
          </wp:inline>
        </w:drawing>
      </w:r>
    </w:p>
    <w:p w14:paraId="0C9CCABC" w14:textId="7406F519" w:rsidR="00403DA1" w:rsidRDefault="00403DA1" w:rsidP="002E7D7C">
      <w:r>
        <w:lastRenderedPageBreak/>
        <w:t>Kuvan taulukosta nähdään seuraavat tilastot lukumäärä, uniikkien luokkien lukumäärä, moodi ja moodin taajuus. Sienien olemassaolon kategoria on lähes symmetrisesti jakautunut kahteen, mutta värin kategorioiden jakaumaa ei vielä saa selville tästä. Käytetään</w:t>
      </w:r>
      <w:r w:rsidR="009C3899">
        <w:t xml:space="preserve"> ristitaulukkoa eri kategoristen arvojen esiintymisen listaukseen.</w:t>
      </w:r>
    </w:p>
    <w:p w14:paraId="74EF960D" w14:textId="2D9C70CA" w:rsidR="009C3899" w:rsidRDefault="009C3899" w:rsidP="002E7D7C">
      <w:r w:rsidRPr="009C3899">
        <w:drawing>
          <wp:inline distT="0" distB="0" distL="0" distR="0" wp14:anchorId="659FBD89" wp14:editId="665CA762">
            <wp:extent cx="3092521" cy="2709784"/>
            <wp:effectExtent l="0" t="0" r="0" b="0"/>
            <wp:docPr id="213395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58916" name=""/>
                    <pic:cNvPicPr/>
                  </pic:nvPicPr>
                  <pic:blipFill>
                    <a:blip r:embed="rId16"/>
                    <a:stretch>
                      <a:fillRect/>
                    </a:stretch>
                  </pic:blipFill>
                  <pic:spPr>
                    <a:xfrm>
                      <a:off x="0" y="0"/>
                      <a:ext cx="3101926" cy="2718025"/>
                    </a:xfrm>
                    <a:prstGeom prst="rect">
                      <a:avLst/>
                    </a:prstGeom>
                  </pic:spPr>
                </pic:pic>
              </a:graphicData>
            </a:graphic>
          </wp:inline>
        </w:drawing>
      </w:r>
    </w:p>
    <w:p w14:paraId="458B2D18" w14:textId="5D83DB7B" w:rsidR="009C3899" w:rsidRDefault="009C3899" w:rsidP="002E7D7C">
      <w:r>
        <w:t>Taulukosta nähdään, että kaikkia yhdistelmiä kategorisia arvoja on olemassa datasetissä, joten joidenkin yhdistelmien puuttumista ei tarvitse ottaa huomioon loppuanalyysissä.</w:t>
      </w:r>
    </w:p>
    <w:p w14:paraId="468BE885" w14:textId="77777777" w:rsidR="009C3899" w:rsidRDefault="009C3899" w:rsidP="002E7D7C"/>
    <w:p w14:paraId="7C098C1B" w14:textId="0690DCC2" w:rsidR="009C3899" w:rsidRDefault="009C3899" w:rsidP="002E7D7C">
      <w:r>
        <w:t xml:space="preserve">Seuraavaksi tutkitaan, ovatko numeeriset muuttujat normaalisti jakautuneita. Normaalisti jakautuneet muuttujat eivät sovellu suoraan ohjaamattomaan oppimiseen, koska niiden satunnaisuuden vuoksi niistä ei voi muodostaa selviä alueita. Lisäksi tilastollisten testien valinta edellyttää tietoa datan normaalijakautuneisuudesta. Käytetään </w:t>
      </w:r>
      <w:proofErr w:type="spellStart"/>
      <w:r>
        <w:t>Shapiro-Wilkin</w:t>
      </w:r>
      <w:proofErr w:type="spellEnd"/>
      <w:r>
        <w:t xml:space="preserve"> normaalisuustestiä numeerisiin muuttujiin.</w:t>
      </w:r>
    </w:p>
    <w:p w14:paraId="68240D93" w14:textId="16DE3193" w:rsidR="009C3899" w:rsidRDefault="009C3899" w:rsidP="002E7D7C">
      <w:r w:rsidRPr="009C3899">
        <w:drawing>
          <wp:inline distT="0" distB="0" distL="0" distR="0" wp14:anchorId="6520887A" wp14:editId="1BDEDBD5">
            <wp:extent cx="3043353" cy="1921268"/>
            <wp:effectExtent l="0" t="0" r="5080" b="3175"/>
            <wp:docPr id="17814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1213" name=""/>
                    <pic:cNvPicPr/>
                  </pic:nvPicPr>
                  <pic:blipFill>
                    <a:blip r:embed="rId17"/>
                    <a:stretch>
                      <a:fillRect/>
                    </a:stretch>
                  </pic:blipFill>
                  <pic:spPr>
                    <a:xfrm>
                      <a:off x="0" y="0"/>
                      <a:ext cx="3048074" cy="1924249"/>
                    </a:xfrm>
                    <a:prstGeom prst="rect">
                      <a:avLst/>
                    </a:prstGeom>
                  </pic:spPr>
                </pic:pic>
              </a:graphicData>
            </a:graphic>
          </wp:inline>
        </w:drawing>
      </w:r>
    </w:p>
    <w:p w14:paraId="5ECD2C9E" w14:textId="2B013246" w:rsidR="009C3899" w:rsidRDefault="009C3899" w:rsidP="002E7D7C">
      <w:r>
        <w:t xml:space="preserve">Huomataan, että maan </w:t>
      </w:r>
      <w:proofErr w:type="spellStart"/>
      <w:r>
        <w:t>ph</w:t>
      </w:r>
      <w:proofErr w:type="spellEnd"/>
      <w:r>
        <w:t xml:space="preserve"> on normaalisti jakautunut, joten sitä ei käytetä lopullisen muuttujavektorin muuttujissa. Muut arvot eivät ole normaalisti jakautuneita, joka auttaa ohjaamattomassa oppimisessa.</w:t>
      </w:r>
    </w:p>
    <w:p w14:paraId="5B229F16" w14:textId="45945E7E" w:rsidR="009C3899" w:rsidRDefault="009C3899" w:rsidP="002E7D7C">
      <w:r>
        <w:t xml:space="preserve">Lasketaan numeeristen muuttujien korrelaatiokertoimet </w:t>
      </w:r>
      <w:proofErr w:type="spellStart"/>
      <w:r>
        <w:t>Spearmanin</w:t>
      </w:r>
      <w:proofErr w:type="spellEnd"/>
      <w:r>
        <w:t xml:space="preserve"> avulla. Valitaan </w:t>
      </w:r>
      <w:proofErr w:type="spellStart"/>
      <w:r>
        <w:t>Spearman</w:t>
      </w:r>
      <w:proofErr w:type="spellEnd"/>
      <w:r>
        <w:t>, koska muuttujat eivät ole normaalisti jakautuneita. Testin tuloksista havaitaan, kuinka paljon yhteisvaihtelua muuttujilla on. Vahvasti korreloituneet muuttujat sisältävät paljon samaa tietoa, joka voi heikentää ohjaamattoman oppimisen tuloksia.</w:t>
      </w:r>
    </w:p>
    <w:p w14:paraId="4898AD0F" w14:textId="7C0A2D83" w:rsidR="00514B4D" w:rsidRDefault="00514B4D" w:rsidP="002E7D7C">
      <w:r w:rsidRPr="00514B4D">
        <w:lastRenderedPageBreak/>
        <w:drawing>
          <wp:inline distT="0" distB="0" distL="0" distR="0" wp14:anchorId="2D8106A2" wp14:editId="11ECF255">
            <wp:extent cx="4236662" cy="4500081"/>
            <wp:effectExtent l="0" t="0" r="0" b="0"/>
            <wp:docPr id="187997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74400" name=""/>
                    <pic:cNvPicPr/>
                  </pic:nvPicPr>
                  <pic:blipFill>
                    <a:blip r:embed="rId18"/>
                    <a:stretch>
                      <a:fillRect/>
                    </a:stretch>
                  </pic:blipFill>
                  <pic:spPr>
                    <a:xfrm>
                      <a:off x="0" y="0"/>
                      <a:ext cx="4239234" cy="4502813"/>
                    </a:xfrm>
                    <a:prstGeom prst="rect">
                      <a:avLst/>
                    </a:prstGeom>
                  </pic:spPr>
                </pic:pic>
              </a:graphicData>
            </a:graphic>
          </wp:inline>
        </w:drawing>
      </w:r>
    </w:p>
    <w:p w14:paraId="4884140D" w14:textId="735B7C05" w:rsidR="00514B4D" w:rsidRDefault="00514B4D" w:rsidP="002E7D7C">
      <w:r>
        <w:t>Taulukosta nähdään seuraavien muuttujien olevan korreloituneita toistensa kanssa. Halkaisija-pituus, kaarna-pituus ja kaarna-halkaisija. Huomataan näiden kolmen muuttujan olevan korreloituneita toistensa kanssa, joten muuttujavektorissa tulee olla vain yksi näistä samaan aikaan.</w:t>
      </w:r>
    </w:p>
    <w:p w14:paraId="1ACA3AA8" w14:textId="4C8F4CB5" w:rsidR="00514B4D" w:rsidRDefault="00514B4D" w:rsidP="002E7D7C">
      <w:r>
        <w:t xml:space="preserve">Lasketaan seuraavaksi kategoristen muuttujien korrelaation </w:t>
      </w:r>
      <w:proofErr w:type="spellStart"/>
      <w:r>
        <w:t>Khinin</w:t>
      </w:r>
      <w:proofErr w:type="spellEnd"/>
      <w:r>
        <w:t xml:space="preserve"> neliötestillä.</w:t>
      </w:r>
    </w:p>
    <w:p w14:paraId="02AB207E" w14:textId="75DBE530" w:rsidR="00514B4D" w:rsidRDefault="00514B4D" w:rsidP="002E7D7C">
      <w:r w:rsidRPr="00514B4D">
        <w:drawing>
          <wp:inline distT="0" distB="0" distL="0" distR="0" wp14:anchorId="0FF466B0" wp14:editId="26CA3784">
            <wp:extent cx="4792257" cy="280867"/>
            <wp:effectExtent l="0" t="0" r="0" b="5080"/>
            <wp:docPr id="6405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7638" name=""/>
                    <pic:cNvPicPr/>
                  </pic:nvPicPr>
                  <pic:blipFill>
                    <a:blip r:embed="rId19"/>
                    <a:stretch>
                      <a:fillRect/>
                    </a:stretch>
                  </pic:blipFill>
                  <pic:spPr>
                    <a:xfrm>
                      <a:off x="0" y="0"/>
                      <a:ext cx="4810475" cy="281935"/>
                    </a:xfrm>
                    <a:prstGeom prst="rect">
                      <a:avLst/>
                    </a:prstGeom>
                  </pic:spPr>
                </pic:pic>
              </a:graphicData>
            </a:graphic>
          </wp:inline>
        </w:drawing>
      </w:r>
    </w:p>
    <w:p w14:paraId="772BE2E5" w14:textId="1C7ECF28" w:rsidR="009C3899" w:rsidRDefault="00514B4D" w:rsidP="002E7D7C">
      <w:r>
        <w:t>Värin ja sienien välillä ei ole vahvaa korrelaatiota.</w:t>
      </w:r>
    </w:p>
    <w:p w14:paraId="5DE89B54" w14:textId="50836F23" w:rsidR="00514B4D" w:rsidRDefault="00514B4D" w:rsidP="002E7D7C">
      <w:r>
        <w:t xml:space="preserve">Lopuksi verrataan vielä kategoristen ja numeeristen muuttujien jakaumien eroa </w:t>
      </w:r>
      <w:proofErr w:type="spellStart"/>
      <w:r>
        <w:t>kruskal-walliksen</w:t>
      </w:r>
      <w:proofErr w:type="spellEnd"/>
      <w:r>
        <w:t xml:space="preserve"> testillä. Tämän testin tuloksena saadaan tietää, onko kahden eri muuttujan hajontojen ero merkittävä vai ei. Jos hajonnat ovat merkittäviä, halutaan molemmat muuttujavektoriin, koska eri hajonnat tuottavat parempia klustereita.</w:t>
      </w:r>
    </w:p>
    <w:p w14:paraId="31F6D1EC" w14:textId="1D6F12C0" w:rsidR="00514B4D" w:rsidRDefault="00514B4D" w:rsidP="002E7D7C">
      <w:r w:rsidRPr="00514B4D">
        <w:lastRenderedPageBreak/>
        <w:drawing>
          <wp:inline distT="0" distB="0" distL="0" distR="0" wp14:anchorId="492F1C54" wp14:editId="7E20DF73">
            <wp:extent cx="4617361" cy="2970131"/>
            <wp:effectExtent l="0" t="0" r="0" b="1905"/>
            <wp:docPr id="165312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28970" name=""/>
                    <pic:cNvPicPr/>
                  </pic:nvPicPr>
                  <pic:blipFill>
                    <a:blip r:embed="rId20"/>
                    <a:stretch>
                      <a:fillRect/>
                    </a:stretch>
                  </pic:blipFill>
                  <pic:spPr>
                    <a:xfrm>
                      <a:off x="0" y="0"/>
                      <a:ext cx="4628928" cy="2977572"/>
                    </a:xfrm>
                    <a:prstGeom prst="rect">
                      <a:avLst/>
                    </a:prstGeom>
                  </pic:spPr>
                </pic:pic>
              </a:graphicData>
            </a:graphic>
          </wp:inline>
        </w:drawing>
      </w:r>
    </w:p>
    <w:p w14:paraId="1E4561A9" w14:textId="5E1E2A94" w:rsidR="00514B4D" w:rsidRDefault="00514B4D" w:rsidP="002E7D7C">
      <w:r>
        <w:t xml:space="preserve">Taulukosta nähdään kahden muuttujan yhdistelmän olevan tilastollisesti merkittävää. Nämä yhdistelmät ovat </w:t>
      </w:r>
      <w:proofErr w:type="gramStart"/>
      <w:r>
        <w:t>halkaisija-sieni</w:t>
      </w:r>
      <w:proofErr w:type="gramEnd"/>
      <w:r>
        <w:t xml:space="preserve"> ja </w:t>
      </w:r>
      <w:proofErr w:type="gramStart"/>
      <w:r>
        <w:t>kaarna-sieni</w:t>
      </w:r>
      <w:proofErr w:type="gramEnd"/>
      <w:r>
        <w:t xml:space="preserve">. Muuttujavektoria rakentaessa halutaan ainakin nämä yhdistelmät </w:t>
      </w:r>
      <w:proofErr w:type="gramStart"/>
      <w:r>
        <w:t>ottaa</w:t>
      </w:r>
      <w:proofErr w:type="gramEnd"/>
      <w:r>
        <w:t xml:space="preserve"> huomioon.</w:t>
      </w:r>
    </w:p>
    <w:p w14:paraId="258D1972" w14:textId="77777777" w:rsidR="00063117" w:rsidRPr="002E7D7C" w:rsidRDefault="00063117" w:rsidP="002E7D7C"/>
    <w:sectPr w:rsidR="00063117" w:rsidRPr="002E7D7C" w:rsidSect="000163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C7C8B" w14:textId="77777777" w:rsidR="00A405D7" w:rsidRDefault="00A405D7" w:rsidP="006A3857">
      <w:pPr>
        <w:spacing w:after="0" w:line="240" w:lineRule="auto"/>
      </w:pPr>
      <w:r>
        <w:separator/>
      </w:r>
    </w:p>
  </w:endnote>
  <w:endnote w:type="continuationSeparator" w:id="0">
    <w:p w14:paraId="68A07185" w14:textId="77777777" w:rsidR="00A405D7" w:rsidRDefault="00A405D7" w:rsidP="006A3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BE481" w14:textId="77777777" w:rsidR="00A405D7" w:rsidRDefault="00A405D7" w:rsidP="006A3857">
      <w:pPr>
        <w:spacing w:after="0" w:line="240" w:lineRule="auto"/>
      </w:pPr>
      <w:r>
        <w:separator/>
      </w:r>
    </w:p>
  </w:footnote>
  <w:footnote w:type="continuationSeparator" w:id="0">
    <w:p w14:paraId="65D44D14" w14:textId="77777777" w:rsidR="00A405D7" w:rsidRDefault="00A405D7" w:rsidP="006A38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F4673"/>
    <w:multiLevelType w:val="hybridMultilevel"/>
    <w:tmpl w:val="C13A53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E5D5F15"/>
    <w:multiLevelType w:val="hybridMultilevel"/>
    <w:tmpl w:val="EEDADC9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3161D5D"/>
    <w:multiLevelType w:val="hybridMultilevel"/>
    <w:tmpl w:val="D3EEF5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7A57A88"/>
    <w:multiLevelType w:val="hybridMultilevel"/>
    <w:tmpl w:val="81D089F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55198156">
    <w:abstractNumId w:val="2"/>
  </w:num>
  <w:num w:numId="2" w16cid:durableId="1985767586">
    <w:abstractNumId w:val="0"/>
  </w:num>
  <w:num w:numId="3" w16cid:durableId="200946013">
    <w:abstractNumId w:val="1"/>
  </w:num>
  <w:num w:numId="4" w16cid:durableId="2023968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AD"/>
    <w:rsid w:val="000163F0"/>
    <w:rsid w:val="00063117"/>
    <w:rsid w:val="000A00CE"/>
    <w:rsid w:val="00243D0E"/>
    <w:rsid w:val="002768CA"/>
    <w:rsid w:val="002E7D7C"/>
    <w:rsid w:val="00403DA1"/>
    <w:rsid w:val="004A175A"/>
    <w:rsid w:val="004B36C0"/>
    <w:rsid w:val="00514B4D"/>
    <w:rsid w:val="005668D0"/>
    <w:rsid w:val="006A3857"/>
    <w:rsid w:val="00836E83"/>
    <w:rsid w:val="00846EF8"/>
    <w:rsid w:val="00850825"/>
    <w:rsid w:val="008D1AC3"/>
    <w:rsid w:val="008E73AD"/>
    <w:rsid w:val="009C3899"/>
    <w:rsid w:val="00A405D7"/>
    <w:rsid w:val="00B7648E"/>
    <w:rsid w:val="00BB096C"/>
    <w:rsid w:val="00BC2C12"/>
    <w:rsid w:val="00DD1701"/>
    <w:rsid w:val="00DF3A0F"/>
    <w:rsid w:val="00E152D4"/>
    <w:rsid w:val="00F33280"/>
    <w:rsid w:val="00F63722"/>
    <w:rsid w:val="00F8548C"/>
    <w:rsid w:val="00F97EFB"/>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01EC2"/>
  <w15:chartTrackingRefBased/>
  <w15:docId w15:val="{68B3C973-7FF1-4904-B552-396C34299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8CA"/>
    <w:pPr>
      <w:keepNext/>
      <w:keepLines/>
      <w:spacing w:before="160" w:after="80"/>
      <w:outlineLvl w:val="1"/>
    </w:pPr>
    <w:rPr>
      <w:rFonts w:asciiTheme="majorHAnsi" w:eastAsiaTheme="majorEastAsia" w:hAnsiTheme="majorHAnsi" w:cstheme="majorBidi"/>
      <w:sz w:val="32"/>
      <w:szCs w:val="32"/>
      <w:lang w:val="en-FI"/>
    </w:rPr>
  </w:style>
  <w:style w:type="paragraph" w:styleId="Heading3">
    <w:name w:val="heading 3"/>
    <w:basedOn w:val="Normal"/>
    <w:next w:val="Normal"/>
    <w:link w:val="Heading3Char"/>
    <w:uiPriority w:val="9"/>
    <w:semiHidden/>
    <w:unhideWhenUsed/>
    <w:qFormat/>
    <w:rsid w:val="008E7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8CA"/>
    <w:rPr>
      <w:rFonts w:asciiTheme="majorHAnsi" w:eastAsiaTheme="majorEastAsia" w:hAnsiTheme="majorHAnsi" w:cstheme="majorBidi"/>
      <w:sz w:val="32"/>
      <w:szCs w:val="32"/>
      <w:lang w:val="en-FI"/>
    </w:rPr>
  </w:style>
  <w:style w:type="character" w:customStyle="1" w:styleId="Heading3Char">
    <w:name w:val="Heading 3 Char"/>
    <w:basedOn w:val="DefaultParagraphFont"/>
    <w:link w:val="Heading3"/>
    <w:uiPriority w:val="9"/>
    <w:semiHidden/>
    <w:rsid w:val="008E7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3AD"/>
    <w:rPr>
      <w:rFonts w:eastAsiaTheme="majorEastAsia" w:cstheme="majorBidi"/>
      <w:color w:val="272727" w:themeColor="text1" w:themeTint="D8"/>
    </w:rPr>
  </w:style>
  <w:style w:type="paragraph" w:styleId="Title">
    <w:name w:val="Title"/>
    <w:basedOn w:val="Normal"/>
    <w:next w:val="Normal"/>
    <w:link w:val="TitleChar"/>
    <w:uiPriority w:val="10"/>
    <w:qFormat/>
    <w:rsid w:val="008E7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3AD"/>
    <w:pPr>
      <w:spacing w:before="160"/>
      <w:jc w:val="center"/>
    </w:pPr>
    <w:rPr>
      <w:i/>
      <w:iCs/>
      <w:color w:val="404040" w:themeColor="text1" w:themeTint="BF"/>
    </w:rPr>
  </w:style>
  <w:style w:type="character" w:customStyle="1" w:styleId="QuoteChar">
    <w:name w:val="Quote Char"/>
    <w:basedOn w:val="DefaultParagraphFont"/>
    <w:link w:val="Quote"/>
    <w:uiPriority w:val="29"/>
    <w:rsid w:val="008E73AD"/>
    <w:rPr>
      <w:i/>
      <w:iCs/>
      <w:color w:val="404040" w:themeColor="text1" w:themeTint="BF"/>
    </w:rPr>
  </w:style>
  <w:style w:type="paragraph" w:styleId="ListParagraph">
    <w:name w:val="List Paragraph"/>
    <w:basedOn w:val="Normal"/>
    <w:uiPriority w:val="34"/>
    <w:qFormat/>
    <w:rsid w:val="008E73AD"/>
    <w:pPr>
      <w:ind w:left="720"/>
      <w:contextualSpacing/>
    </w:pPr>
  </w:style>
  <w:style w:type="character" w:styleId="IntenseEmphasis">
    <w:name w:val="Intense Emphasis"/>
    <w:basedOn w:val="DefaultParagraphFont"/>
    <w:uiPriority w:val="21"/>
    <w:qFormat/>
    <w:rsid w:val="008E73AD"/>
    <w:rPr>
      <w:i/>
      <w:iCs/>
      <w:color w:val="0F4761" w:themeColor="accent1" w:themeShade="BF"/>
    </w:rPr>
  </w:style>
  <w:style w:type="paragraph" w:styleId="IntenseQuote">
    <w:name w:val="Intense Quote"/>
    <w:basedOn w:val="Normal"/>
    <w:next w:val="Normal"/>
    <w:link w:val="IntenseQuoteChar"/>
    <w:uiPriority w:val="30"/>
    <w:qFormat/>
    <w:rsid w:val="008E7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3AD"/>
    <w:rPr>
      <w:i/>
      <w:iCs/>
      <w:color w:val="0F4761" w:themeColor="accent1" w:themeShade="BF"/>
    </w:rPr>
  </w:style>
  <w:style w:type="character" w:styleId="IntenseReference">
    <w:name w:val="Intense Reference"/>
    <w:basedOn w:val="DefaultParagraphFont"/>
    <w:uiPriority w:val="32"/>
    <w:qFormat/>
    <w:rsid w:val="008E73AD"/>
    <w:rPr>
      <w:b/>
      <w:bCs/>
      <w:smallCaps/>
      <w:color w:val="0F4761" w:themeColor="accent1" w:themeShade="BF"/>
      <w:spacing w:val="5"/>
    </w:rPr>
  </w:style>
  <w:style w:type="paragraph" w:styleId="Header">
    <w:name w:val="header"/>
    <w:basedOn w:val="Normal"/>
    <w:link w:val="HeaderChar"/>
    <w:uiPriority w:val="99"/>
    <w:unhideWhenUsed/>
    <w:rsid w:val="006A3857"/>
    <w:pPr>
      <w:tabs>
        <w:tab w:val="center" w:pos="4819"/>
        <w:tab w:val="right" w:pos="9638"/>
      </w:tabs>
      <w:spacing w:after="0" w:line="240" w:lineRule="auto"/>
    </w:pPr>
  </w:style>
  <w:style w:type="character" w:customStyle="1" w:styleId="HeaderChar">
    <w:name w:val="Header Char"/>
    <w:basedOn w:val="DefaultParagraphFont"/>
    <w:link w:val="Header"/>
    <w:uiPriority w:val="99"/>
    <w:rsid w:val="006A3857"/>
  </w:style>
  <w:style w:type="paragraph" w:styleId="Footer">
    <w:name w:val="footer"/>
    <w:basedOn w:val="Normal"/>
    <w:link w:val="FooterChar"/>
    <w:uiPriority w:val="99"/>
    <w:unhideWhenUsed/>
    <w:rsid w:val="006A3857"/>
    <w:pPr>
      <w:tabs>
        <w:tab w:val="center" w:pos="4819"/>
        <w:tab w:val="right" w:pos="9638"/>
      </w:tabs>
      <w:spacing w:after="0" w:line="240" w:lineRule="auto"/>
    </w:pPr>
  </w:style>
  <w:style w:type="character" w:customStyle="1" w:styleId="FooterChar">
    <w:name w:val="Footer Char"/>
    <w:basedOn w:val="DefaultParagraphFont"/>
    <w:link w:val="Footer"/>
    <w:uiPriority w:val="99"/>
    <w:rsid w:val="006A3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5</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Teerioja</dc:creator>
  <cp:keywords/>
  <dc:description/>
  <cp:lastModifiedBy>Anton Teerioja</cp:lastModifiedBy>
  <cp:revision>7</cp:revision>
  <dcterms:created xsi:type="dcterms:W3CDTF">2026-04-02T12:28:00Z</dcterms:created>
  <dcterms:modified xsi:type="dcterms:W3CDTF">2026-04-15T09:50:00Z</dcterms:modified>
</cp:coreProperties>
</file>