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6B6E" w:rsidRPr="00C96B6E" w:rsidRDefault="00C96B6E" w:rsidP="00537B1F">
      <w:pPr>
        <w:jc w:val="both"/>
        <w:rPr>
          <w:rFonts w:ascii="Garamond" w:hAnsi="Garamond"/>
          <w:b/>
          <w:bCs/>
        </w:rPr>
      </w:pPr>
      <w:r w:rsidRPr="00C96B6E">
        <w:rPr>
          <w:rFonts w:ascii="Garamond" w:hAnsi="Garamond"/>
          <w:b/>
          <w:bCs/>
        </w:rPr>
        <w:t>GENERAL INTRODUCTION</w:t>
      </w:r>
    </w:p>
    <w:p w:rsidR="00C96B6E" w:rsidRPr="00C96B6E" w:rsidRDefault="00C96B6E" w:rsidP="00537B1F">
      <w:pPr>
        <w:jc w:val="both"/>
        <w:rPr>
          <w:rFonts w:ascii="Garamond" w:hAnsi="Garamond"/>
          <w:b/>
          <w:bCs/>
        </w:rPr>
      </w:pPr>
      <w:r w:rsidRPr="00C96B6E">
        <w:rPr>
          <w:rFonts w:ascii="Garamond" w:hAnsi="Garamond"/>
          <w:b/>
          <w:bCs/>
        </w:rPr>
        <w:t>1. The Global Crisis of Ovine Genetic Diversity and the Imperative of Ex Situ Conservation</w:t>
      </w:r>
    </w:p>
    <w:p w:rsidR="00C96B6E" w:rsidRPr="00C96B6E" w:rsidRDefault="00C96B6E" w:rsidP="00537B1F">
      <w:pPr>
        <w:jc w:val="both"/>
        <w:rPr>
          <w:rFonts w:ascii="Garamond" w:hAnsi="Garamond"/>
        </w:rPr>
      </w:pPr>
      <w:r w:rsidRPr="00C96B6E">
        <w:rPr>
          <w:rFonts w:ascii="Garamond" w:hAnsi="Garamond"/>
        </w:rPr>
        <w:t>Sheep (</w:t>
      </w:r>
      <w:r w:rsidRPr="00C96B6E">
        <w:rPr>
          <w:rFonts w:ascii="Garamond" w:hAnsi="Garamond"/>
          <w:i/>
          <w:iCs/>
        </w:rPr>
        <w:t>Ovis aries</w:t>
      </w:r>
      <w:r w:rsidRPr="00C96B6E">
        <w:rPr>
          <w:rFonts w:ascii="Garamond" w:hAnsi="Garamond"/>
        </w:rPr>
        <w:t xml:space="preserve"> L.) constitute one of humanity's most genetically diverse livestock species, with more than 1,300 recognized breeds worldwide, each representing unique adaptations to extreme environmental conditions—high-altitude hypoxia, arid-zone heat stress, disease endemicity, and nutritional marginality (Wanjala, 2025; Dossybayev, 2025; Hansen, 2025). This genetic diversity underpins global food security, ecosystem resilience, and the capacity of pastoral systems to adapt to accelerating climate change (Muthusamy, 2025; Ma, 2025). Yet this biological heritage faces unprecedented threat: approximately 27% of sheep breeds are currently classified as endangered, with demographic bottlenecks, uncontrolled crossbreeding, and intensifying environmental pressures accelerating genetic erosion (Motaung, 2024; Barłowska, 2025; Tampaki, 2025).</w:t>
      </w:r>
    </w:p>
    <w:p w:rsidR="00C96B6E" w:rsidRPr="00C96B6E" w:rsidRDefault="00C96B6E" w:rsidP="00537B1F">
      <w:pPr>
        <w:jc w:val="both"/>
        <w:rPr>
          <w:rFonts w:ascii="Garamond" w:hAnsi="Garamond"/>
        </w:rPr>
      </w:pPr>
      <w:r w:rsidRPr="00C96B6E">
        <w:rPr>
          <w:rFonts w:ascii="Garamond" w:hAnsi="Garamond"/>
        </w:rPr>
        <w:t xml:space="preserve">The conservation of animal genetic resources (AnGR) has consequently emerged as a strategic global priority, with the Food and Agriculture </w:t>
      </w:r>
      <w:r w:rsidR="00262EBB">
        <w:rPr>
          <w:rFonts w:ascii="Garamond" w:hAnsi="Garamond"/>
        </w:rPr>
        <w:t>Organisation</w:t>
      </w:r>
      <w:r w:rsidRPr="00C96B6E">
        <w:rPr>
          <w:rFonts w:ascii="Garamond" w:hAnsi="Garamond"/>
        </w:rPr>
        <w:t xml:space="preserve"> (FAO) promoting integrated </w:t>
      </w:r>
      <w:r w:rsidRPr="00C96B6E">
        <w:rPr>
          <w:rFonts w:ascii="Garamond" w:hAnsi="Garamond"/>
          <w:i/>
          <w:iCs/>
        </w:rPr>
        <w:t>in situ</w:t>
      </w:r>
      <w:r w:rsidRPr="00C96B6E">
        <w:rPr>
          <w:rFonts w:ascii="Garamond" w:hAnsi="Garamond"/>
        </w:rPr>
        <w:t xml:space="preserve"> and </w:t>
      </w:r>
      <w:r w:rsidRPr="00C96B6E">
        <w:rPr>
          <w:rFonts w:ascii="Garamond" w:hAnsi="Garamond"/>
          <w:i/>
          <w:iCs/>
        </w:rPr>
        <w:t>ex situ</w:t>
      </w:r>
      <w:r w:rsidRPr="00C96B6E">
        <w:rPr>
          <w:rFonts w:ascii="Garamond" w:hAnsi="Garamond"/>
        </w:rPr>
        <w:t xml:space="preserve"> strategies to safeguard biodiversity and address economic, ecological, social, and cultural demands (Engdawork et al., 2024). Among </w:t>
      </w:r>
      <w:r w:rsidRPr="00C96B6E">
        <w:rPr>
          <w:rFonts w:ascii="Garamond" w:hAnsi="Garamond"/>
          <w:i/>
          <w:iCs/>
        </w:rPr>
        <w:t>ex situ</w:t>
      </w:r>
      <w:r w:rsidRPr="00C96B6E">
        <w:rPr>
          <w:rFonts w:ascii="Garamond" w:hAnsi="Garamond"/>
        </w:rPr>
        <w:t xml:space="preserve"> approaches, germplasm cryobanking—particularly sperm cryopreservation—provides a cost-effective, long-term solution enabling breed reconstitution, international genetic exchange, and targeted genetic improvement (Castro et al., 2025; Shayestehyekta et al., 2025; Boes et al., 2023). However, conventional cryobanking relies primarily on elective semen collection from live animals, a approach that cannot address the acute genetic emergencies posed by sudden mortality in valuable individuals or small endangered populations.</w:t>
      </w:r>
    </w:p>
    <w:p w:rsidR="00C96B6E" w:rsidRPr="00C96B6E" w:rsidRDefault="00C96B6E" w:rsidP="00537B1F">
      <w:pPr>
        <w:jc w:val="both"/>
        <w:rPr>
          <w:rFonts w:ascii="Garamond" w:hAnsi="Garamond"/>
          <w:b/>
          <w:bCs/>
        </w:rPr>
      </w:pPr>
      <w:r w:rsidRPr="00C96B6E">
        <w:rPr>
          <w:rFonts w:ascii="Garamond" w:hAnsi="Garamond"/>
          <w:b/>
          <w:bCs/>
        </w:rPr>
        <w:t>2. The Post-Slaughter Window: Genetic Rescue in Extremis</w:t>
      </w:r>
    </w:p>
    <w:p w:rsidR="00C96B6E" w:rsidRPr="00C96B6E" w:rsidRDefault="00C96B6E" w:rsidP="00537B1F">
      <w:pPr>
        <w:jc w:val="both"/>
        <w:rPr>
          <w:rFonts w:ascii="Garamond" w:hAnsi="Garamond"/>
        </w:rPr>
      </w:pPr>
      <w:r w:rsidRPr="00C96B6E">
        <w:rPr>
          <w:rFonts w:ascii="Garamond" w:hAnsi="Garamond"/>
        </w:rPr>
        <w:t xml:space="preserve">Consider the concrete scenario that motivates this investigation: a genetically elite Awassi ram, heterozygous for the </w:t>
      </w:r>
      <w:r w:rsidRPr="00C96B6E">
        <w:rPr>
          <w:rFonts w:ascii="Garamond" w:hAnsi="Garamond"/>
          <w:i/>
          <w:iCs/>
        </w:rPr>
        <w:t>BMPR-IB</w:t>
      </w:r>
      <w:r w:rsidRPr="00C96B6E">
        <w:rPr>
          <w:rFonts w:ascii="Garamond" w:hAnsi="Garamond"/>
        </w:rPr>
        <w:t xml:space="preserve"> fecundity allele associated with increased litter size, dies unexpectedly from acute pneumonia at a research station in Jordan. This animal represented years of selective breeding for adaptation to arid-zone conditions—traits increasingly valuable under climate change. With live collection impossible, what genetic material can be salvaged? Within 24–48 hours, if the carcass has been cooled appropriately, the cauda epididymides may yield 5–15 billion spermatozoa capable of fertilization via assisted reproduction (Mujitaba et al., 2022; Anciuti et al., 2025). Without intervention, this genetic line is permanently lost. With optimized post-slaughter recovery and preservation, the ram's genetic contribution may extend across decades and geographies.</w:t>
      </w:r>
    </w:p>
    <w:p w:rsidR="00C96B6E" w:rsidRPr="00C96B6E" w:rsidRDefault="00C96B6E" w:rsidP="00537B1F">
      <w:pPr>
        <w:jc w:val="both"/>
        <w:rPr>
          <w:rFonts w:ascii="Garamond" w:hAnsi="Garamond"/>
        </w:rPr>
      </w:pPr>
      <w:r w:rsidRPr="00C96B6E">
        <w:rPr>
          <w:rFonts w:ascii="Garamond" w:hAnsi="Garamond"/>
        </w:rPr>
        <w:t xml:space="preserve">Post-slaughter sperm recovery—specifically the retrieval and cryopreservation of epididymal spermatozoa from animals that die unexpectedly, are culled, or are euthanized—constitutes an increasingly critical strategy for genetic conservation (Engdawork et al., 2024; Silva et al., 2024). Unlike elective germplasm collection through electroejaculation, which requires trained animals and specialized handling, post-slaughter recovery captures genetic material that would otherwise be irretrievably lost. The technique has demonstrated practical success: pregnancy rates of 87.5% have been achieved with cryopreserved epididymal sperm from Hungarian Black Racka and Merino rams in artificial insemination (AI) and </w:t>
      </w:r>
      <w:r w:rsidRPr="00C96B6E">
        <w:rPr>
          <w:rFonts w:ascii="Garamond" w:hAnsi="Garamond"/>
          <w:i/>
          <w:iCs/>
        </w:rPr>
        <w:t>in vitro</w:t>
      </w:r>
      <w:r w:rsidRPr="00C96B6E">
        <w:rPr>
          <w:rFonts w:ascii="Garamond" w:hAnsi="Garamond"/>
        </w:rPr>
        <w:t xml:space="preserve"> fertilization (IVF) programs (Mujitaba et al., 2023; Sharafi et al., 2022). The epididymis functions as a natural reservoir of mature spermatozoa, recoverable within 24–48 hours post-mortem with minimal quality deterioration when testes are stored at 4–</w:t>
      </w:r>
      <w:r w:rsidRPr="00C96B6E">
        <w:rPr>
          <w:rFonts w:ascii="Garamond" w:hAnsi="Garamond"/>
        </w:rPr>
        <w:lastRenderedPageBreak/>
        <w:t>5°C, providing a practical genetic "insurance policy" in both slaughterhouse and conservation settings (Shayestehyekta et al., 2022; Silva et al., 2024).</w:t>
      </w:r>
    </w:p>
    <w:p w:rsidR="00C96B6E" w:rsidRPr="00C96B6E" w:rsidRDefault="00C96B6E" w:rsidP="00537B1F">
      <w:pPr>
        <w:jc w:val="both"/>
        <w:rPr>
          <w:rFonts w:ascii="Garamond" w:hAnsi="Garamond"/>
        </w:rPr>
      </w:pPr>
      <w:r w:rsidRPr="00C96B6E">
        <w:rPr>
          <w:rFonts w:ascii="Garamond" w:hAnsi="Garamond"/>
        </w:rPr>
        <w:t>However, the efficacy of genetic rescue hinges on a narrow temporal window and the quality of preservation achieved within that window—a constraint that defines the central challenge of this thesis. The interval between death and sperm collection, combined with thermal conditions of carcass storage, constitutes the primary determinant of cellular integrity and functional viability (Shi et al., 2025; Swami et al., 2021). Upon somatic death, the cessation of systemic metabolic support initiates a rapid biochemical cascade: ischemia forces anaerobic glycolysis and ATP depletion; mitochondrial electron transport chain disruption generates reactive oxygen species (ROS); iron-catalyzed Fenton chemistry produces hydroxyl radicals; and lipid peroxidation propagates membrane damage (Shi et al., 2025; Fleming &amp; Thomson, 2025). This "golden hour" framework—where metabolic deterioration may still be partially mitigated before proteolytic and oxidative damage becomes irreversible—creates both opportunity and imperative for intervention (Rosato et al., 2021).</w:t>
      </w:r>
    </w:p>
    <w:p w:rsidR="00C96B6E" w:rsidRPr="00C96B6E" w:rsidRDefault="00C96B6E" w:rsidP="00537B1F">
      <w:pPr>
        <w:jc w:val="both"/>
        <w:rPr>
          <w:rFonts w:ascii="Garamond" w:hAnsi="Garamond"/>
          <w:b/>
          <w:bCs/>
        </w:rPr>
      </w:pPr>
      <w:r w:rsidRPr="00C96B6E">
        <w:rPr>
          <w:rFonts w:ascii="Garamond" w:hAnsi="Garamond"/>
          <w:b/>
          <w:bCs/>
        </w:rPr>
        <w:t>3. The Biological Specificity of Post-Slaughter Ovine Epididymal Sperm</w:t>
      </w:r>
    </w:p>
    <w:p w:rsidR="00C96B6E" w:rsidRPr="00C96B6E" w:rsidRDefault="00C96B6E" w:rsidP="00537B1F">
      <w:pPr>
        <w:jc w:val="both"/>
        <w:rPr>
          <w:rFonts w:ascii="Garamond" w:hAnsi="Garamond"/>
        </w:rPr>
      </w:pPr>
      <w:r w:rsidRPr="00C96B6E">
        <w:rPr>
          <w:rFonts w:ascii="Garamond" w:hAnsi="Garamond"/>
        </w:rPr>
        <w:t>Post-slaughter epididymal sperm constitute a biologically distinct preservation challenge, fundamentally different from conventionally processed ejaculated semen. Three specificities define this distinctiveness and shape intervention requirements.</w:t>
      </w:r>
    </w:p>
    <w:p w:rsidR="00C96B6E" w:rsidRPr="00C96B6E" w:rsidRDefault="00C96B6E" w:rsidP="00537B1F">
      <w:pPr>
        <w:jc w:val="both"/>
        <w:rPr>
          <w:rFonts w:ascii="Garamond" w:hAnsi="Garamond"/>
        </w:rPr>
      </w:pPr>
      <w:r w:rsidRPr="00C96B6E">
        <w:rPr>
          <w:rFonts w:ascii="Garamond" w:hAnsi="Garamond"/>
          <w:b/>
          <w:bCs/>
        </w:rPr>
        <w:t>First, the absence of seminal plasma protection.</w:t>
      </w:r>
      <w:r w:rsidRPr="00C96B6E">
        <w:rPr>
          <w:rFonts w:ascii="Garamond" w:hAnsi="Garamond"/>
        </w:rPr>
        <w:t xml:space="preserve"> Epididymal spermatozoa complete maturation but lack exposure to accessory gland secretions that provide antioxidant buffering, membrane stabilizers, and metabolic substrates to ejaculated sperm (van Tilburg et al., 2021). While this absence simplifies certain technical aspects (no seminal plasma proteins to interfere with cryoprotectant penetration), it removes a critical defense against oxidative stress precisely when systemic antioxidant support has terminated. Post-slaughter recovery captures sperm at their most antioxidant-dependent life stage.</w:t>
      </w:r>
    </w:p>
    <w:p w:rsidR="00C96B6E" w:rsidRPr="00C96B6E" w:rsidRDefault="00C96B6E" w:rsidP="00537B1F">
      <w:pPr>
        <w:jc w:val="both"/>
        <w:rPr>
          <w:rFonts w:ascii="Garamond" w:hAnsi="Garamond"/>
        </w:rPr>
      </w:pPr>
      <w:r w:rsidRPr="00C96B6E">
        <w:rPr>
          <w:rFonts w:ascii="Garamond" w:hAnsi="Garamond"/>
          <w:b/>
          <w:bCs/>
        </w:rPr>
        <w:t>Second, ovine-specific structural vulnerability.</w:t>
      </w:r>
      <w:r w:rsidRPr="00C96B6E">
        <w:rPr>
          <w:rFonts w:ascii="Garamond" w:hAnsi="Garamond"/>
        </w:rPr>
        <w:t xml:space="preserve"> Ram spermatozoa possess the highest docosahexaenoic acid (DHA) content among domestic livestock, comprising 30–40% of plasma membrane phospholipid fatty acids (Abdollahzadeh et al., 2025; Carro et al., 2022). This DHA enrichment, while essential for membrane fluidity and fertilization competence, creates exceptional susceptibility to lipid peroxidation—the multiple bis-allylic bonds providing prime targets for radical attack that propagate membrane damage far from initial ROS sources (Aitken &amp; Drevet, 2020). The sperm midpiece, housing 70–80 mitochondria with PUFA-rich membranes, is particularly vulnerable; mitochondrial damage creates a destructive feedback loop where ROS generation impairs ATP synthesis, accelerating quality decline (Wang et al., 2024; Zhu et al., 2024).</w:t>
      </w:r>
    </w:p>
    <w:p w:rsidR="00C96B6E" w:rsidRPr="00C96B6E" w:rsidRDefault="00C96B6E" w:rsidP="00537B1F">
      <w:pPr>
        <w:jc w:val="both"/>
        <w:rPr>
          <w:rFonts w:ascii="Garamond" w:hAnsi="Garamond"/>
        </w:rPr>
      </w:pPr>
      <w:r w:rsidRPr="00C96B6E">
        <w:rPr>
          <w:rFonts w:ascii="Garamond" w:hAnsi="Garamond"/>
          <w:b/>
          <w:bCs/>
        </w:rPr>
        <w:t>Third, pre-existing oxidative damage.</w:t>
      </w:r>
      <w:r w:rsidRPr="00C96B6E">
        <w:rPr>
          <w:rFonts w:ascii="Garamond" w:hAnsi="Garamond"/>
        </w:rPr>
        <w:t xml:space="preserve"> Post-slaughter sperm enter preservation already compromised by post-mortem ROS exposure, ischemic metabolic stress, and ionic dysregulation. Cryopreservation itself induces additional oxidative injury through freeze-thaw membrane phase transitions, ice crystal formation, and osmotic stress (Castro et al., 2025; Shayestehyekta et al., 2025). This dual insult—post-mortem deterioration compounded by cryoinjury—creates requirements that standard preservation protocols, designed for healthy ejaculated semen, systematically fail to meet.</w:t>
      </w:r>
    </w:p>
    <w:p w:rsidR="00C96B6E" w:rsidRPr="00C96B6E" w:rsidRDefault="00C96B6E" w:rsidP="00537B1F">
      <w:pPr>
        <w:jc w:val="both"/>
        <w:rPr>
          <w:rFonts w:ascii="Garamond" w:hAnsi="Garamond"/>
          <w:b/>
          <w:bCs/>
        </w:rPr>
      </w:pPr>
      <w:r w:rsidRPr="00C96B6E">
        <w:rPr>
          <w:rFonts w:ascii="Garamond" w:hAnsi="Garamond"/>
          <w:b/>
          <w:bCs/>
        </w:rPr>
        <w:t>4. The Systematic Failure of Conventional Antioxidant Strategies</w:t>
      </w:r>
    </w:p>
    <w:p w:rsidR="00C96B6E" w:rsidRPr="00C96B6E" w:rsidRDefault="00C96B6E" w:rsidP="00537B1F">
      <w:pPr>
        <w:jc w:val="both"/>
        <w:rPr>
          <w:rFonts w:ascii="Garamond" w:hAnsi="Garamond"/>
        </w:rPr>
      </w:pPr>
      <w:r w:rsidRPr="00C96B6E">
        <w:rPr>
          <w:rFonts w:ascii="Garamond" w:hAnsi="Garamond"/>
        </w:rPr>
        <w:t xml:space="preserve">Given established oxidative vulnerability, antioxidant supplementation would seem an obvious solution. Indeed, extensive research has evaluated antioxidant addition to semen extenders, with demonstrated </w:t>
      </w:r>
      <w:r w:rsidRPr="00C96B6E">
        <w:rPr>
          <w:rFonts w:ascii="Garamond" w:hAnsi="Garamond"/>
        </w:rPr>
        <w:lastRenderedPageBreak/>
        <w:t>benefits for ejaculated semen cryopreservation (Shayestehyekta et al., 2025; Howard et al., 2025). However, critical analysis reveals fundamental limitations when conventional approaches are applied to post-slaughter contexts.</w:t>
      </w:r>
    </w:p>
    <w:p w:rsidR="00C96B6E" w:rsidRPr="00C96B6E" w:rsidRDefault="00C96B6E" w:rsidP="00537B1F">
      <w:pPr>
        <w:jc w:val="both"/>
        <w:rPr>
          <w:rFonts w:ascii="Garamond" w:hAnsi="Garamond"/>
        </w:rPr>
      </w:pPr>
      <w:r w:rsidRPr="00C96B6E">
        <w:rPr>
          <w:rFonts w:ascii="Garamond" w:hAnsi="Garamond"/>
        </w:rPr>
        <w:t>Chemical antioxidants such as TROLOX (water-soluble vitamin E analog) and cysteine (thiol donor) operate through single mechanisms—chain-breaking radical scavenging or glutathione precursor provision—that cannot address the multi-source ROS generation (mitochondrial, enzymatic, Fenton chemistry) characteristic of post-mortem deterioration (Kafi et al., 2024; Section 3.3). TROLOX's aqueous solubility restricts membrane integration and mitochondrial access; cysteine requires metabolic activation compromised by post-mortem metabolic decline and exhibits pro-oxidant risk with transition metal exposure (Section 3.3.1). Enzymatic antioxidants (superoxide dismutase, catalase, glutathione peroxidase) are membrane-impermeable, temperature-sensitive, and impractical for field application (Kurochkin &amp; Pleshanov, 2024). Standard semen extenders, designed for ejaculated semen, incorporate antioxidant components calibrated for healthy cells with intact seminal plasma protection—insufficient for pre-damaged post-slaughter sperm (Bustani &amp; Baiee, 2021; Sharafi et al., 2022).</w:t>
      </w:r>
    </w:p>
    <w:p w:rsidR="00C96B6E" w:rsidRPr="00C96B6E" w:rsidRDefault="00C96B6E" w:rsidP="00537B1F">
      <w:pPr>
        <w:jc w:val="both"/>
        <w:rPr>
          <w:rFonts w:ascii="Garamond" w:hAnsi="Garamond"/>
        </w:rPr>
      </w:pPr>
      <w:r w:rsidRPr="00C96B6E">
        <w:rPr>
          <w:rFonts w:ascii="Garamond" w:hAnsi="Garamond"/>
        </w:rPr>
        <w:t xml:space="preserve">This systematic failure—narrow mechanisms, limited bioavailability, metabolic dependence, and field impracticality—creates a specific research imperative: identification of antioxidant interventions capable of </w:t>
      </w:r>
      <w:r w:rsidRPr="00C96B6E">
        <w:rPr>
          <w:rFonts w:ascii="Garamond" w:hAnsi="Garamond"/>
          <w:b/>
          <w:bCs/>
        </w:rPr>
        <w:t>multi-target action, membrane integration, mitochondrial protection, metal chelation, and sustainable field implementation</w:t>
      </w:r>
      <w:r w:rsidRPr="00C96B6E">
        <w:rPr>
          <w:rFonts w:ascii="Garamond" w:hAnsi="Garamond"/>
        </w:rPr>
        <w:t xml:space="preserve"> in resource-limited genetic banking contexts.</w:t>
      </w:r>
    </w:p>
    <w:p w:rsidR="00C96B6E" w:rsidRPr="00C96B6E" w:rsidRDefault="00C96B6E" w:rsidP="00537B1F">
      <w:pPr>
        <w:jc w:val="both"/>
        <w:rPr>
          <w:rFonts w:ascii="Garamond" w:hAnsi="Garamond"/>
          <w:b/>
          <w:bCs/>
        </w:rPr>
      </w:pPr>
      <w:r w:rsidRPr="00C96B6E">
        <w:rPr>
          <w:rFonts w:ascii="Garamond" w:hAnsi="Garamond"/>
          <w:b/>
          <w:bCs/>
        </w:rPr>
        <w:t>5. Date Palm Pollen: A Mechanism-Matched Botanical Solution</w:t>
      </w:r>
    </w:p>
    <w:p w:rsidR="00C96B6E" w:rsidRPr="00C96B6E" w:rsidRDefault="00C96B6E" w:rsidP="00537B1F">
      <w:pPr>
        <w:jc w:val="both"/>
        <w:rPr>
          <w:rFonts w:ascii="Garamond" w:hAnsi="Garamond"/>
        </w:rPr>
      </w:pPr>
      <w:r w:rsidRPr="00C96B6E">
        <w:rPr>
          <w:rFonts w:ascii="Garamond" w:hAnsi="Garamond"/>
        </w:rPr>
        <w:t>Date palm pollen (</w:t>
      </w:r>
      <w:r w:rsidRPr="00C96B6E">
        <w:rPr>
          <w:rFonts w:ascii="Garamond" w:hAnsi="Garamond"/>
          <w:i/>
          <w:iCs/>
        </w:rPr>
        <w:t>Phoenix dactylifera</w:t>
      </w:r>
      <w:r w:rsidRPr="00C96B6E">
        <w:rPr>
          <w:rFonts w:ascii="Garamond" w:hAnsi="Garamond"/>
        </w:rPr>
        <w:t xml:space="preserve"> L.) emerges from comparative analysis as uniquely positioned to address the specific requirements of post-slaughter ovine epididymal sperm preservation. DPP is not a single compound but a complex matrix of bioactive molecules—polyphenols (gallic acid, rutin, quercetin, caffeic acid), fatty acids (palmitic, linoleic, oleic), minerals (zinc, selenium, copper), vitamins (A, E, C, B-complex), and amino acids (arginine)—acting through complementary mechanisms (Salhi et al., 2024; Section 4.2).</w:t>
      </w:r>
    </w:p>
    <w:p w:rsidR="00C96B6E" w:rsidRPr="00C96B6E" w:rsidRDefault="00C96B6E" w:rsidP="00537B1F">
      <w:pPr>
        <w:jc w:val="both"/>
        <w:rPr>
          <w:rFonts w:ascii="Garamond" w:hAnsi="Garamond"/>
        </w:rPr>
      </w:pPr>
      <w:r w:rsidRPr="00C96B6E">
        <w:rPr>
          <w:rFonts w:ascii="Garamond" w:hAnsi="Garamond"/>
          <w:b/>
          <w:bCs/>
        </w:rPr>
        <w:t>Polyphenol diversity enables multi-target ROS scavenging.</w:t>
      </w:r>
      <w:r w:rsidRPr="00C96B6E">
        <w:rPr>
          <w:rFonts w:ascii="Garamond" w:hAnsi="Garamond"/>
        </w:rPr>
        <w:t xml:space="preserve"> Gallic acid provides potent hydrogen donation and iron chelation; rutin and quercetin offer amphiphilic mitochondrial targeting; caffeic acid contributes lipophilic membrane stabilization (Section 4.2.1). This diversity addresses mitochondrial superoxide, hydroxyl radical prevention through metal chelation, and lipid peroxidation chain-breaking—simultaneously targeting multiple ROS sources that overwhelm single-mechanism antioxidants.</w:t>
      </w:r>
    </w:p>
    <w:p w:rsidR="00C96B6E" w:rsidRPr="00C96B6E" w:rsidRDefault="00C96B6E" w:rsidP="00537B1F">
      <w:pPr>
        <w:jc w:val="both"/>
        <w:rPr>
          <w:rFonts w:ascii="Garamond" w:hAnsi="Garamond"/>
        </w:rPr>
      </w:pPr>
      <w:r w:rsidRPr="00C96B6E">
        <w:rPr>
          <w:rFonts w:ascii="Garamond" w:hAnsi="Garamond"/>
          <w:b/>
          <w:bCs/>
        </w:rPr>
        <w:t>Amphiphilic character enables membrane integration.</w:t>
      </w:r>
      <w:r w:rsidRPr="00C96B6E">
        <w:rPr>
          <w:rFonts w:ascii="Garamond" w:hAnsi="Garamond"/>
        </w:rPr>
        <w:t xml:space="preserve"> Many DPP polyphenols possess both hydrophilic and lipophilic domains, positioning at membrane-aqueous interfaces to prevent peroxidation initiation rather than merely terminating chains (Costa et al., 2021; Galleano et al., 2010). For ovine sperm with exceptionally PUFA-rich membranes, this interfacial protection is qualitatively superior to aqueous-phase antioxidants.</w:t>
      </w:r>
    </w:p>
    <w:p w:rsidR="00C96B6E" w:rsidRPr="00C96B6E" w:rsidRDefault="00C96B6E" w:rsidP="00537B1F">
      <w:pPr>
        <w:jc w:val="both"/>
        <w:rPr>
          <w:rFonts w:ascii="Garamond" w:hAnsi="Garamond"/>
        </w:rPr>
      </w:pPr>
      <w:r w:rsidRPr="00C96B6E">
        <w:rPr>
          <w:rFonts w:ascii="Garamond" w:hAnsi="Garamond"/>
          <w:b/>
          <w:bCs/>
        </w:rPr>
        <w:t>Mitochondrial targeting preserves energetic function.</w:t>
      </w:r>
      <w:r w:rsidRPr="00C96B6E">
        <w:rPr>
          <w:rFonts w:ascii="Garamond" w:hAnsi="Garamond"/>
        </w:rPr>
        <w:t xml:space="preserve"> Lipophilic polyphenols accumulate in mitochondrial membranes, scavenging ROS at their primary source and protecting cardiolipin from peroxidation (Section 4.3.3). Combined with zinc and selenium cofactors for endogenous antioxidant enzymes, this targeting addresses the energetic collapse that limits fertility in preserved sperm.</w:t>
      </w:r>
    </w:p>
    <w:p w:rsidR="00C96B6E" w:rsidRPr="00C96B6E" w:rsidRDefault="00C96B6E" w:rsidP="00537B1F">
      <w:pPr>
        <w:jc w:val="both"/>
        <w:rPr>
          <w:rFonts w:ascii="Garamond" w:hAnsi="Garamond"/>
        </w:rPr>
      </w:pPr>
      <w:r w:rsidRPr="00C96B6E">
        <w:rPr>
          <w:rFonts w:ascii="Garamond" w:hAnsi="Garamond"/>
          <w:b/>
          <w:bCs/>
        </w:rPr>
        <w:lastRenderedPageBreak/>
        <w:t>Nrf2 pathway activation provides sustained defense.</w:t>
      </w:r>
      <w:r w:rsidRPr="00C96B6E">
        <w:rPr>
          <w:rFonts w:ascii="Garamond" w:hAnsi="Garamond"/>
        </w:rPr>
        <w:t xml:space="preserve"> Specific DPP polyphenols induce expression of superoxide dismutase, catalase, and glutathione peroxidase through Nrf2 activation, stimulating natural defenses beyond direct scavenging (Fallahi et al., 2021; Yang et al., 2019).</w:t>
      </w:r>
    </w:p>
    <w:p w:rsidR="00C96B6E" w:rsidRPr="00C96B6E" w:rsidRDefault="00C96B6E" w:rsidP="00537B1F">
      <w:pPr>
        <w:jc w:val="both"/>
        <w:rPr>
          <w:rFonts w:ascii="Garamond" w:hAnsi="Garamond"/>
        </w:rPr>
      </w:pPr>
      <w:r w:rsidRPr="00C96B6E">
        <w:rPr>
          <w:rFonts w:ascii="Garamond" w:hAnsi="Garamond"/>
          <w:b/>
          <w:bCs/>
        </w:rPr>
        <w:t>Field applicability aligns with conservation goals.</w:t>
      </w:r>
      <w:r w:rsidRPr="00C96B6E">
        <w:rPr>
          <w:rFonts w:ascii="Garamond" w:hAnsi="Garamond"/>
        </w:rPr>
        <w:t xml:space="preserve"> DPP's traditional use in regions where sheep and date palms co-occur (arid-zone agroecosystems of the Middle East, North Africa, and Central Asia) supports culturally-accepted, sustainable, low-cost implementation—critical for genetic banking in resource-limited settings (Section 4.5).</w:t>
      </w:r>
    </w:p>
    <w:p w:rsidR="00C96B6E" w:rsidRPr="00C96B6E" w:rsidRDefault="00C96B6E" w:rsidP="00537B1F">
      <w:pPr>
        <w:jc w:val="both"/>
        <w:rPr>
          <w:rFonts w:ascii="Garamond" w:hAnsi="Garamond"/>
        </w:rPr>
      </w:pPr>
      <w:r w:rsidRPr="00C96B6E">
        <w:rPr>
          <w:rFonts w:ascii="Garamond" w:hAnsi="Garamond"/>
        </w:rPr>
        <w:t xml:space="preserve">Cross-species evidence supports DPP's reproductive benefits: improved motility, viability, and membrane integrity in bulls (Amsah et al., 2021), goats (Ng et al., 2022), buffalo (El-Sheshtawy et al., 2016), and rabbits (El-Seadawy et al., 2023; Laghouati et al., 2021, 2023). However, </w:t>
      </w:r>
      <w:r w:rsidRPr="00C96B6E">
        <w:rPr>
          <w:rFonts w:ascii="Garamond" w:hAnsi="Garamond"/>
          <w:b/>
          <w:bCs/>
        </w:rPr>
        <w:t>no studies have evaluated DPP specifically in ovine sperm, and no studies have tested DPP in post-slaughter epididymal contexts in any species</w:t>
      </w:r>
      <w:r w:rsidRPr="00C96B6E">
        <w:rPr>
          <w:rFonts w:ascii="Garamond" w:hAnsi="Garamond"/>
        </w:rPr>
        <w:t>. This translational gap—between demonstrated general efficacy and specific application to the unique biological context of post-mortem ovine genetic rescue—defines the research opportunity of this thesis.</w:t>
      </w:r>
    </w:p>
    <w:p w:rsidR="00C96B6E" w:rsidRPr="00C96B6E" w:rsidRDefault="00C96B6E" w:rsidP="00537B1F">
      <w:pPr>
        <w:jc w:val="both"/>
        <w:rPr>
          <w:rFonts w:ascii="Garamond" w:hAnsi="Garamond"/>
          <w:b/>
          <w:bCs/>
        </w:rPr>
      </w:pPr>
      <w:r w:rsidRPr="00C96B6E">
        <w:rPr>
          <w:rFonts w:ascii="Garamond" w:hAnsi="Garamond"/>
          <w:b/>
          <w:bCs/>
        </w:rPr>
        <w:t>6. Research Objectives and Hypotheses</w:t>
      </w:r>
    </w:p>
    <w:p w:rsidR="00C96B6E" w:rsidRPr="00C96B6E" w:rsidRDefault="00C96B6E" w:rsidP="00537B1F">
      <w:pPr>
        <w:jc w:val="both"/>
        <w:rPr>
          <w:rFonts w:ascii="Garamond" w:hAnsi="Garamond"/>
        </w:rPr>
      </w:pPr>
      <w:r w:rsidRPr="00C96B6E">
        <w:rPr>
          <w:rFonts w:ascii="Garamond" w:hAnsi="Garamond"/>
        </w:rPr>
        <w:t>This investigation tests the hypothesis that date palm pollen supplementation to semen extender significantly improves the conservation outcomes of ovine epididymal sperm recovered post-slaughter, measured through hierarchical assessment from oxidative status to fertilizing capacity. Four specific objectives guide the research:</w:t>
      </w:r>
    </w:p>
    <w:p w:rsidR="00C96B6E" w:rsidRPr="00C96B6E" w:rsidRDefault="00C96B6E" w:rsidP="00537B1F">
      <w:pPr>
        <w:jc w:val="both"/>
        <w:rPr>
          <w:rFonts w:ascii="Garamond" w:hAnsi="Garamond"/>
        </w:rPr>
      </w:pPr>
      <w:r w:rsidRPr="00C96B6E">
        <w:rPr>
          <w:rFonts w:ascii="Garamond" w:hAnsi="Garamond"/>
          <w:b/>
          <w:bCs/>
        </w:rPr>
        <w:t>Objective 1</w:t>
      </w:r>
      <w:r w:rsidRPr="00C96B6E">
        <w:rPr>
          <w:rFonts w:ascii="Garamond" w:hAnsi="Garamond"/>
        </w:rPr>
        <w:t>: Establish optimal DPP concentration and timing for ovine post-slaughter epididymal sperm preservation, testing dose-dependency (2–10%) and addition timing (equilibration vs. post-thaw).</w:t>
      </w:r>
    </w:p>
    <w:p w:rsidR="00C96B6E" w:rsidRPr="00C96B6E" w:rsidRDefault="00C96B6E" w:rsidP="00537B1F">
      <w:pPr>
        <w:jc w:val="both"/>
        <w:rPr>
          <w:rFonts w:ascii="Garamond" w:hAnsi="Garamond"/>
        </w:rPr>
      </w:pPr>
      <w:r w:rsidRPr="00C96B6E">
        <w:rPr>
          <w:rFonts w:ascii="Garamond" w:hAnsi="Garamond"/>
          <w:b/>
          <w:bCs/>
        </w:rPr>
        <w:t>Objective 2</w:t>
      </w:r>
      <w:r w:rsidRPr="00C96B6E">
        <w:rPr>
          <w:rFonts w:ascii="Garamond" w:hAnsi="Garamond"/>
        </w:rPr>
        <w:t>: Compare DPP efficacy to conventional antioxidant (TROLOX) supplementation through head-to-head evaluation of post-thaw quality parameters.</w:t>
      </w:r>
    </w:p>
    <w:p w:rsidR="00C96B6E" w:rsidRPr="00C96B6E" w:rsidRDefault="00C96B6E" w:rsidP="00537B1F">
      <w:pPr>
        <w:jc w:val="both"/>
        <w:rPr>
          <w:rFonts w:ascii="Garamond" w:hAnsi="Garamond"/>
        </w:rPr>
      </w:pPr>
      <w:r w:rsidRPr="00C96B6E">
        <w:rPr>
          <w:rFonts w:ascii="Garamond" w:hAnsi="Garamond"/>
          <w:b/>
          <w:bCs/>
        </w:rPr>
        <w:t>Objective 3</w:t>
      </w:r>
      <w:r w:rsidRPr="00C96B6E">
        <w:rPr>
          <w:rFonts w:ascii="Garamond" w:hAnsi="Garamond"/>
        </w:rPr>
        <w:t>: Elucidate mechanism-specific protection through assessment of mitochondrial ROS, lipid peroxidation, DNA oxidation, and antioxidant enzyme activity.</w:t>
      </w:r>
    </w:p>
    <w:p w:rsidR="00C96B6E" w:rsidRPr="00C96B6E" w:rsidRDefault="00C96B6E" w:rsidP="00537B1F">
      <w:pPr>
        <w:jc w:val="both"/>
        <w:rPr>
          <w:rFonts w:ascii="Garamond" w:hAnsi="Garamond"/>
        </w:rPr>
      </w:pPr>
      <w:r w:rsidRPr="00C96B6E">
        <w:rPr>
          <w:rFonts w:ascii="Garamond" w:hAnsi="Garamond"/>
          <w:b/>
          <w:bCs/>
        </w:rPr>
        <w:t>Objective 4</w:t>
      </w:r>
      <w:r w:rsidRPr="00C96B6E">
        <w:rPr>
          <w:rFonts w:ascii="Garamond" w:hAnsi="Garamond"/>
        </w:rPr>
        <w:t xml:space="preserve">: Validate functional conservation through </w:t>
      </w:r>
      <w:r w:rsidRPr="00C96B6E">
        <w:rPr>
          <w:rFonts w:ascii="Garamond" w:hAnsi="Garamond"/>
          <w:i/>
          <w:iCs/>
        </w:rPr>
        <w:t>in vitro</w:t>
      </w:r>
      <w:r w:rsidRPr="00C96B6E">
        <w:rPr>
          <w:rFonts w:ascii="Garamond" w:hAnsi="Garamond"/>
        </w:rPr>
        <w:t xml:space="preserve"> fertilization and embryo development to blastocyst stage.</w:t>
      </w:r>
    </w:p>
    <w:p w:rsidR="00C96B6E" w:rsidRPr="00C96B6E" w:rsidRDefault="00C96B6E" w:rsidP="00537B1F">
      <w:pPr>
        <w:jc w:val="both"/>
        <w:rPr>
          <w:rFonts w:ascii="Garamond" w:hAnsi="Garamond"/>
        </w:rPr>
      </w:pPr>
      <w:r w:rsidRPr="00C96B6E">
        <w:rPr>
          <w:rFonts w:ascii="Garamond" w:hAnsi="Garamond"/>
        </w:rPr>
        <w:t>From these objectives, four testable hypotheses are derived:</w:t>
      </w:r>
    </w:p>
    <w:p w:rsidR="00C96B6E" w:rsidRPr="00C96B6E" w:rsidRDefault="00C96B6E" w:rsidP="00537B1F">
      <w:pPr>
        <w:numPr>
          <w:ilvl w:val="0"/>
          <w:numId w:val="1"/>
        </w:numPr>
        <w:jc w:val="both"/>
        <w:rPr>
          <w:rFonts w:ascii="Garamond" w:hAnsi="Garamond"/>
        </w:rPr>
      </w:pPr>
      <w:r w:rsidRPr="00C96B6E">
        <w:rPr>
          <w:rFonts w:ascii="Garamond" w:hAnsi="Garamond"/>
          <w:b/>
          <w:bCs/>
        </w:rPr>
        <w:t>H1</w:t>
      </w:r>
      <w:r w:rsidRPr="00C96B6E">
        <w:rPr>
          <w:rFonts w:ascii="Garamond" w:hAnsi="Garamond"/>
        </w:rPr>
        <w:t>: DPP improves post-thaw quality in a dose-dependent manner, with optimal concentration between 2–10%.</w:t>
      </w:r>
    </w:p>
    <w:p w:rsidR="00C96B6E" w:rsidRPr="00C96B6E" w:rsidRDefault="00C96B6E" w:rsidP="00537B1F">
      <w:pPr>
        <w:numPr>
          <w:ilvl w:val="0"/>
          <w:numId w:val="1"/>
        </w:numPr>
        <w:jc w:val="both"/>
        <w:rPr>
          <w:rFonts w:ascii="Garamond" w:hAnsi="Garamond"/>
        </w:rPr>
      </w:pPr>
      <w:r w:rsidRPr="00C96B6E">
        <w:rPr>
          <w:rFonts w:ascii="Garamond" w:hAnsi="Garamond"/>
          <w:b/>
          <w:bCs/>
        </w:rPr>
        <w:t>H2</w:t>
      </w:r>
      <w:r w:rsidRPr="00C96B6E">
        <w:rPr>
          <w:rFonts w:ascii="Garamond" w:hAnsi="Garamond"/>
        </w:rPr>
        <w:t>: DPP conservative effect is mediated by specific mechanisms (mitochondrial ROS reduction, lipid peroxidation inhibition, iron chelation) exceeding conventional antioxidant efficacy.</w:t>
      </w:r>
    </w:p>
    <w:p w:rsidR="00C96B6E" w:rsidRPr="00C96B6E" w:rsidRDefault="00C96B6E" w:rsidP="00537B1F">
      <w:pPr>
        <w:numPr>
          <w:ilvl w:val="0"/>
          <w:numId w:val="1"/>
        </w:numPr>
        <w:jc w:val="both"/>
        <w:rPr>
          <w:rFonts w:ascii="Garamond" w:hAnsi="Garamond"/>
        </w:rPr>
      </w:pPr>
      <w:r w:rsidRPr="00C96B6E">
        <w:rPr>
          <w:rFonts w:ascii="Garamond" w:hAnsi="Garamond"/>
          <w:b/>
          <w:bCs/>
        </w:rPr>
        <w:t>H3</w:t>
      </w:r>
      <w:r w:rsidRPr="00C96B6E">
        <w:rPr>
          <w:rFonts w:ascii="Garamond" w:hAnsi="Garamond"/>
        </w:rPr>
        <w:t>: Equilibration-period DPP addition outperforms post-thaw addition due to cellular integration.</w:t>
      </w:r>
    </w:p>
    <w:p w:rsidR="00C96B6E" w:rsidRPr="00C96B6E" w:rsidRDefault="00C96B6E" w:rsidP="00537B1F">
      <w:pPr>
        <w:numPr>
          <w:ilvl w:val="0"/>
          <w:numId w:val="1"/>
        </w:numPr>
        <w:jc w:val="both"/>
        <w:rPr>
          <w:rFonts w:ascii="Garamond" w:hAnsi="Garamond"/>
        </w:rPr>
      </w:pPr>
      <w:r w:rsidRPr="00C96B6E">
        <w:rPr>
          <w:rFonts w:ascii="Garamond" w:hAnsi="Garamond"/>
          <w:b/>
          <w:bCs/>
        </w:rPr>
        <w:t>H4</w:t>
      </w:r>
      <w:r w:rsidRPr="00C96B6E">
        <w:rPr>
          <w:rFonts w:ascii="Garamond" w:hAnsi="Garamond"/>
        </w:rPr>
        <w:t>: DPP-preserved sperm demonstrate improved fertilizing capacity in IVF, with higher blastocyst rates than control and equivalent or superior to conventional antioxidants.</w:t>
      </w:r>
    </w:p>
    <w:p w:rsidR="00C96B6E" w:rsidRPr="00C96B6E" w:rsidRDefault="00C96B6E" w:rsidP="00537B1F">
      <w:pPr>
        <w:jc w:val="both"/>
        <w:rPr>
          <w:rFonts w:ascii="Garamond" w:hAnsi="Garamond"/>
          <w:b/>
          <w:bCs/>
        </w:rPr>
      </w:pPr>
      <w:r w:rsidRPr="00C96B6E">
        <w:rPr>
          <w:rFonts w:ascii="Garamond" w:hAnsi="Garamond"/>
          <w:b/>
          <w:bCs/>
        </w:rPr>
        <w:t>7. Significance and Expected Contributions</w:t>
      </w:r>
    </w:p>
    <w:p w:rsidR="00C96B6E" w:rsidRPr="00C96B6E" w:rsidRDefault="00C96B6E" w:rsidP="00537B1F">
      <w:pPr>
        <w:jc w:val="both"/>
        <w:rPr>
          <w:rFonts w:ascii="Garamond" w:hAnsi="Garamond"/>
        </w:rPr>
      </w:pPr>
      <w:r w:rsidRPr="00C96B6E">
        <w:rPr>
          <w:rFonts w:ascii="Garamond" w:hAnsi="Garamond"/>
        </w:rPr>
        <w:lastRenderedPageBreak/>
        <w:t xml:space="preserve">This investigation represents the </w:t>
      </w:r>
      <w:r w:rsidRPr="00C96B6E">
        <w:rPr>
          <w:rFonts w:ascii="Garamond" w:hAnsi="Garamond"/>
          <w:b/>
          <w:bCs/>
        </w:rPr>
        <w:t>first systematic study of date palm pollen's conservative effects specifically in post-slaughter ovine epididymal sperm</w:t>
      </w:r>
      <w:r w:rsidRPr="00C96B6E">
        <w:rPr>
          <w:rFonts w:ascii="Garamond" w:hAnsi="Garamond"/>
        </w:rPr>
        <w:t>, addressing a critical translational gap with implications spanning scientific understanding, technical development, and conservation impact.</w:t>
      </w:r>
    </w:p>
    <w:p w:rsidR="00C96B6E" w:rsidRPr="00C96B6E" w:rsidRDefault="00C96B6E" w:rsidP="00537B1F">
      <w:pPr>
        <w:jc w:val="both"/>
        <w:rPr>
          <w:rFonts w:ascii="Garamond" w:hAnsi="Garamond"/>
        </w:rPr>
      </w:pPr>
      <w:r w:rsidRPr="00C96B6E">
        <w:rPr>
          <w:rFonts w:ascii="Garamond" w:hAnsi="Garamond"/>
          <w:b/>
          <w:bCs/>
        </w:rPr>
        <w:t>Scientific contribution</w:t>
      </w:r>
      <w:r w:rsidRPr="00C96B6E">
        <w:rPr>
          <w:rFonts w:ascii="Garamond" w:hAnsi="Garamond"/>
        </w:rPr>
        <w:t>: Establishment of species-specific DPP efficacy data for ovine sperm; mechanistic validation of polypharmacological antioxidant action in post-mortem cells; comparative benchmarking against conventional antioxidants.</w:t>
      </w:r>
    </w:p>
    <w:p w:rsidR="00C96B6E" w:rsidRPr="00C96B6E" w:rsidRDefault="00C96B6E" w:rsidP="00537B1F">
      <w:pPr>
        <w:jc w:val="both"/>
        <w:rPr>
          <w:rFonts w:ascii="Garamond" w:hAnsi="Garamond"/>
        </w:rPr>
      </w:pPr>
      <w:r w:rsidRPr="00C96B6E">
        <w:rPr>
          <w:rFonts w:ascii="Garamond" w:hAnsi="Garamond"/>
          <w:b/>
          <w:bCs/>
        </w:rPr>
        <w:t>Technical contribution</w:t>
      </w:r>
      <w:r w:rsidRPr="00C96B6E">
        <w:rPr>
          <w:rFonts w:ascii="Garamond" w:hAnsi="Garamond"/>
        </w:rPr>
        <w:t>: Validated, field-applicable protocol for DPP supplementation in ovine genetic banking; quality control parameters for standardization; decision framework for practitioners.</w:t>
      </w:r>
    </w:p>
    <w:p w:rsidR="00C96B6E" w:rsidRPr="00C96B6E" w:rsidRDefault="00C96B6E" w:rsidP="00537B1F">
      <w:pPr>
        <w:jc w:val="both"/>
        <w:rPr>
          <w:rFonts w:ascii="Garamond" w:hAnsi="Garamond"/>
        </w:rPr>
      </w:pPr>
      <w:r w:rsidRPr="00C96B6E">
        <w:rPr>
          <w:rFonts w:ascii="Garamond" w:hAnsi="Garamond"/>
          <w:b/>
          <w:bCs/>
        </w:rPr>
        <w:t>Conservation impact</w:t>
      </w:r>
      <w:r w:rsidRPr="00C96B6E">
        <w:rPr>
          <w:rFonts w:ascii="Garamond" w:hAnsi="Garamond"/>
        </w:rPr>
        <w:t>: Enhanced genetic salvage rates from post-slaughter recovery; reduced cost and infrastructure requirements for genetic banking in developing regions; culturally appropriate intervention aligned with traditional practices in arid-zone sheep systems.</w:t>
      </w:r>
    </w:p>
    <w:p w:rsidR="00C96B6E" w:rsidRPr="00C96B6E" w:rsidRDefault="00C96B6E" w:rsidP="00537B1F">
      <w:pPr>
        <w:jc w:val="both"/>
        <w:rPr>
          <w:rFonts w:ascii="Garamond" w:hAnsi="Garamond"/>
        </w:rPr>
      </w:pPr>
      <w:r w:rsidRPr="00C96B6E">
        <w:rPr>
          <w:rFonts w:ascii="Garamond" w:hAnsi="Garamond"/>
        </w:rPr>
        <w:t>The ultimate measure of success is practical: whether DPP enables effective genetic conservation from animals that would otherwise represent permanent genetic loss, bridging the critical gap between mortality in the field and perpetuation of valuable genotypes in breeding programs and gene banks.</w:t>
      </w:r>
    </w:p>
    <w:p w:rsidR="00F13D00" w:rsidRPr="00C96B6E" w:rsidRDefault="00F13D00" w:rsidP="00537B1F">
      <w:pPr>
        <w:jc w:val="both"/>
        <w:rPr>
          <w:rFonts w:ascii="Garamond" w:hAnsi="Garamond"/>
        </w:rPr>
      </w:pPr>
    </w:p>
    <w:sectPr w:rsidR="00F13D00" w:rsidRPr="00C96B6E" w:rsidSect="00C96B6E">
      <w:pgSz w:w="12240" w:h="15840"/>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583"/>
    <w:multiLevelType w:val="multilevel"/>
    <w:tmpl w:val="5A7A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4485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B6E"/>
    <w:rsid w:val="00001E7D"/>
    <w:rsid w:val="00006123"/>
    <w:rsid w:val="00007E4C"/>
    <w:rsid w:val="00034C40"/>
    <w:rsid w:val="000373AD"/>
    <w:rsid w:val="000378F6"/>
    <w:rsid w:val="00043CF8"/>
    <w:rsid w:val="000465A5"/>
    <w:rsid w:val="00051C76"/>
    <w:rsid w:val="000525A4"/>
    <w:rsid w:val="00063254"/>
    <w:rsid w:val="000702A7"/>
    <w:rsid w:val="000721B3"/>
    <w:rsid w:val="000743F4"/>
    <w:rsid w:val="00074AD4"/>
    <w:rsid w:val="00074E0A"/>
    <w:rsid w:val="0008143A"/>
    <w:rsid w:val="00081506"/>
    <w:rsid w:val="00082A17"/>
    <w:rsid w:val="00083737"/>
    <w:rsid w:val="00086F1F"/>
    <w:rsid w:val="00090705"/>
    <w:rsid w:val="000939F5"/>
    <w:rsid w:val="000A08C3"/>
    <w:rsid w:val="000A2980"/>
    <w:rsid w:val="000A5BF7"/>
    <w:rsid w:val="000A6625"/>
    <w:rsid w:val="000B0538"/>
    <w:rsid w:val="000C7C01"/>
    <w:rsid w:val="000D1DF2"/>
    <w:rsid w:val="000D3641"/>
    <w:rsid w:val="000D4472"/>
    <w:rsid w:val="000D5AC6"/>
    <w:rsid w:val="000E0703"/>
    <w:rsid w:val="000E55FA"/>
    <w:rsid w:val="000F1EA6"/>
    <w:rsid w:val="000F5928"/>
    <w:rsid w:val="0010169C"/>
    <w:rsid w:val="0011399C"/>
    <w:rsid w:val="001218A0"/>
    <w:rsid w:val="001221D0"/>
    <w:rsid w:val="00124F48"/>
    <w:rsid w:val="00126E02"/>
    <w:rsid w:val="00131236"/>
    <w:rsid w:val="001327B3"/>
    <w:rsid w:val="0013479F"/>
    <w:rsid w:val="00135283"/>
    <w:rsid w:val="00135363"/>
    <w:rsid w:val="0014096C"/>
    <w:rsid w:val="00142EE2"/>
    <w:rsid w:val="00143BE3"/>
    <w:rsid w:val="0014408C"/>
    <w:rsid w:val="00144F3F"/>
    <w:rsid w:val="00152A6C"/>
    <w:rsid w:val="00155CE3"/>
    <w:rsid w:val="001642EF"/>
    <w:rsid w:val="00167FA8"/>
    <w:rsid w:val="00176FCE"/>
    <w:rsid w:val="0018164D"/>
    <w:rsid w:val="001835F6"/>
    <w:rsid w:val="00183EC9"/>
    <w:rsid w:val="00187A5B"/>
    <w:rsid w:val="00193D2E"/>
    <w:rsid w:val="001A0841"/>
    <w:rsid w:val="001B0C0D"/>
    <w:rsid w:val="001C3D50"/>
    <w:rsid w:val="001C42FD"/>
    <w:rsid w:val="001D3218"/>
    <w:rsid w:val="001D50D0"/>
    <w:rsid w:val="001E1DB6"/>
    <w:rsid w:val="001E3057"/>
    <w:rsid w:val="001E3D79"/>
    <w:rsid w:val="001E4004"/>
    <w:rsid w:val="001F0ED6"/>
    <w:rsid w:val="001F55B0"/>
    <w:rsid w:val="00200A99"/>
    <w:rsid w:val="00202F1D"/>
    <w:rsid w:val="00203626"/>
    <w:rsid w:val="00210E87"/>
    <w:rsid w:val="00213E91"/>
    <w:rsid w:val="00215828"/>
    <w:rsid w:val="00215843"/>
    <w:rsid w:val="00217064"/>
    <w:rsid w:val="002172D5"/>
    <w:rsid w:val="00234429"/>
    <w:rsid w:val="00234C94"/>
    <w:rsid w:val="002364C8"/>
    <w:rsid w:val="00253BD1"/>
    <w:rsid w:val="0026190D"/>
    <w:rsid w:val="00261B75"/>
    <w:rsid w:val="00261BCD"/>
    <w:rsid w:val="00262EBB"/>
    <w:rsid w:val="002645DA"/>
    <w:rsid w:val="0026736C"/>
    <w:rsid w:val="002716B2"/>
    <w:rsid w:val="00272819"/>
    <w:rsid w:val="002733E7"/>
    <w:rsid w:val="002835AD"/>
    <w:rsid w:val="00283778"/>
    <w:rsid w:val="00286C8D"/>
    <w:rsid w:val="00290617"/>
    <w:rsid w:val="00293ABB"/>
    <w:rsid w:val="002A41C5"/>
    <w:rsid w:val="002B3AC2"/>
    <w:rsid w:val="002C2F07"/>
    <w:rsid w:val="002C514A"/>
    <w:rsid w:val="002C51E7"/>
    <w:rsid w:val="002C76C9"/>
    <w:rsid w:val="002C7B04"/>
    <w:rsid w:val="002D37BC"/>
    <w:rsid w:val="002E13E7"/>
    <w:rsid w:val="002E620A"/>
    <w:rsid w:val="002E7F34"/>
    <w:rsid w:val="002F6D28"/>
    <w:rsid w:val="00311CDD"/>
    <w:rsid w:val="00312E4A"/>
    <w:rsid w:val="0032142A"/>
    <w:rsid w:val="00324D72"/>
    <w:rsid w:val="003275E4"/>
    <w:rsid w:val="00327ACF"/>
    <w:rsid w:val="003300D7"/>
    <w:rsid w:val="003317A8"/>
    <w:rsid w:val="00332DB4"/>
    <w:rsid w:val="0033435B"/>
    <w:rsid w:val="0033504E"/>
    <w:rsid w:val="003402E0"/>
    <w:rsid w:val="00340DB9"/>
    <w:rsid w:val="00352E74"/>
    <w:rsid w:val="0035393B"/>
    <w:rsid w:val="00355070"/>
    <w:rsid w:val="003610C3"/>
    <w:rsid w:val="00361340"/>
    <w:rsid w:val="00370F45"/>
    <w:rsid w:val="00372E75"/>
    <w:rsid w:val="00383372"/>
    <w:rsid w:val="00383640"/>
    <w:rsid w:val="003839BE"/>
    <w:rsid w:val="00384A6C"/>
    <w:rsid w:val="003857C2"/>
    <w:rsid w:val="003858B3"/>
    <w:rsid w:val="00394108"/>
    <w:rsid w:val="003A2E6D"/>
    <w:rsid w:val="003A4E90"/>
    <w:rsid w:val="003A5EDC"/>
    <w:rsid w:val="003E06C8"/>
    <w:rsid w:val="003E38F2"/>
    <w:rsid w:val="003E4666"/>
    <w:rsid w:val="003F3C68"/>
    <w:rsid w:val="003F4834"/>
    <w:rsid w:val="003F7017"/>
    <w:rsid w:val="0040294F"/>
    <w:rsid w:val="00404016"/>
    <w:rsid w:val="004121B3"/>
    <w:rsid w:val="004133D9"/>
    <w:rsid w:val="00414972"/>
    <w:rsid w:val="0042119B"/>
    <w:rsid w:val="004277E8"/>
    <w:rsid w:val="00427A9B"/>
    <w:rsid w:val="00440946"/>
    <w:rsid w:val="00442DA5"/>
    <w:rsid w:val="00442F07"/>
    <w:rsid w:val="00443FC6"/>
    <w:rsid w:val="00460403"/>
    <w:rsid w:val="00472360"/>
    <w:rsid w:val="004834FA"/>
    <w:rsid w:val="00491A76"/>
    <w:rsid w:val="00492894"/>
    <w:rsid w:val="00493330"/>
    <w:rsid w:val="00496802"/>
    <w:rsid w:val="004968DB"/>
    <w:rsid w:val="004B701E"/>
    <w:rsid w:val="004C44D5"/>
    <w:rsid w:val="004C51C5"/>
    <w:rsid w:val="004D121A"/>
    <w:rsid w:val="004D443D"/>
    <w:rsid w:val="004D4C71"/>
    <w:rsid w:val="004E22FD"/>
    <w:rsid w:val="004F2E8A"/>
    <w:rsid w:val="004F5130"/>
    <w:rsid w:val="00501D48"/>
    <w:rsid w:val="00503C47"/>
    <w:rsid w:val="00510999"/>
    <w:rsid w:val="00521857"/>
    <w:rsid w:val="0052306D"/>
    <w:rsid w:val="00524889"/>
    <w:rsid w:val="0052687D"/>
    <w:rsid w:val="00532F6A"/>
    <w:rsid w:val="00537B1F"/>
    <w:rsid w:val="00537BE3"/>
    <w:rsid w:val="00542337"/>
    <w:rsid w:val="00545F84"/>
    <w:rsid w:val="0055019A"/>
    <w:rsid w:val="00554336"/>
    <w:rsid w:val="00556166"/>
    <w:rsid w:val="0055717D"/>
    <w:rsid w:val="0056165D"/>
    <w:rsid w:val="005631E3"/>
    <w:rsid w:val="00565A5B"/>
    <w:rsid w:val="00565AFB"/>
    <w:rsid w:val="00570307"/>
    <w:rsid w:val="00572BC0"/>
    <w:rsid w:val="00580B71"/>
    <w:rsid w:val="00584E52"/>
    <w:rsid w:val="00584FDC"/>
    <w:rsid w:val="005852C2"/>
    <w:rsid w:val="0059310A"/>
    <w:rsid w:val="005939B9"/>
    <w:rsid w:val="0059564F"/>
    <w:rsid w:val="005A35DE"/>
    <w:rsid w:val="005C17D7"/>
    <w:rsid w:val="005C1800"/>
    <w:rsid w:val="005C1AC4"/>
    <w:rsid w:val="005C1C14"/>
    <w:rsid w:val="005C31EB"/>
    <w:rsid w:val="005C3EC4"/>
    <w:rsid w:val="005D14A1"/>
    <w:rsid w:val="005D3687"/>
    <w:rsid w:val="005E3675"/>
    <w:rsid w:val="005E70DB"/>
    <w:rsid w:val="005F5B9E"/>
    <w:rsid w:val="00605813"/>
    <w:rsid w:val="00606807"/>
    <w:rsid w:val="006139FE"/>
    <w:rsid w:val="00622D89"/>
    <w:rsid w:val="00624A38"/>
    <w:rsid w:val="006311A1"/>
    <w:rsid w:val="006314E4"/>
    <w:rsid w:val="006341EE"/>
    <w:rsid w:val="00635D2E"/>
    <w:rsid w:val="006370AB"/>
    <w:rsid w:val="006417B3"/>
    <w:rsid w:val="0065754F"/>
    <w:rsid w:val="00673AB7"/>
    <w:rsid w:val="00676DFD"/>
    <w:rsid w:val="00677B82"/>
    <w:rsid w:val="006811DE"/>
    <w:rsid w:val="00687E9E"/>
    <w:rsid w:val="0069018C"/>
    <w:rsid w:val="00694574"/>
    <w:rsid w:val="006948E6"/>
    <w:rsid w:val="006A1277"/>
    <w:rsid w:val="006B28F5"/>
    <w:rsid w:val="006C07ED"/>
    <w:rsid w:val="006C5CAE"/>
    <w:rsid w:val="006D0E13"/>
    <w:rsid w:val="006D2C98"/>
    <w:rsid w:val="006D4293"/>
    <w:rsid w:val="006D6646"/>
    <w:rsid w:val="006D6FA5"/>
    <w:rsid w:val="006E67AD"/>
    <w:rsid w:val="006F4A30"/>
    <w:rsid w:val="006F5179"/>
    <w:rsid w:val="006F6B8A"/>
    <w:rsid w:val="0070129F"/>
    <w:rsid w:val="00705786"/>
    <w:rsid w:val="00706120"/>
    <w:rsid w:val="00707AFA"/>
    <w:rsid w:val="00707E64"/>
    <w:rsid w:val="007105E3"/>
    <w:rsid w:val="00711D5C"/>
    <w:rsid w:val="007134F4"/>
    <w:rsid w:val="00716212"/>
    <w:rsid w:val="007177BD"/>
    <w:rsid w:val="0072092F"/>
    <w:rsid w:val="007238DD"/>
    <w:rsid w:val="00725F25"/>
    <w:rsid w:val="00725F62"/>
    <w:rsid w:val="00727B85"/>
    <w:rsid w:val="0073581D"/>
    <w:rsid w:val="00736D26"/>
    <w:rsid w:val="007373D1"/>
    <w:rsid w:val="007413C5"/>
    <w:rsid w:val="007425AB"/>
    <w:rsid w:val="00742E32"/>
    <w:rsid w:val="00750670"/>
    <w:rsid w:val="00751066"/>
    <w:rsid w:val="00751F3D"/>
    <w:rsid w:val="00756976"/>
    <w:rsid w:val="00762552"/>
    <w:rsid w:val="00763EDE"/>
    <w:rsid w:val="00764ABA"/>
    <w:rsid w:val="00765734"/>
    <w:rsid w:val="00793277"/>
    <w:rsid w:val="007A03A9"/>
    <w:rsid w:val="007A2B41"/>
    <w:rsid w:val="007A6AAF"/>
    <w:rsid w:val="007B1145"/>
    <w:rsid w:val="007B4302"/>
    <w:rsid w:val="007D1291"/>
    <w:rsid w:val="007D75B5"/>
    <w:rsid w:val="007F1098"/>
    <w:rsid w:val="007F2593"/>
    <w:rsid w:val="007F66E4"/>
    <w:rsid w:val="008022FB"/>
    <w:rsid w:val="00812B05"/>
    <w:rsid w:val="008161C3"/>
    <w:rsid w:val="00821077"/>
    <w:rsid w:val="00842C3B"/>
    <w:rsid w:val="00843CB3"/>
    <w:rsid w:val="0085632F"/>
    <w:rsid w:val="008603F3"/>
    <w:rsid w:val="00862279"/>
    <w:rsid w:val="008856D5"/>
    <w:rsid w:val="008933D3"/>
    <w:rsid w:val="008976AA"/>
    <w:rsid w:val="008979B2"/>
    <w:rsid w:val="008A461D"/>
    <w:rsid w:val="008B04A8"/>
    <w:rsid w:val="008B5F6F"/>
    <w:rsid w:val="008C0273"/>
    <w:rsid w:val="008C6C10"/>
    <w:rsid w:val="008C7F1F"/>
    <w:rsid w:val="008D38C9"/>
    <w:rsid w:val="008D7B43"/>
    <w:rsid w:val="008E5610"/>
    <w:rsid w:val="008F1706"/>
    <w:rsid w:val="008F4AE4"/>
    <w:rsid w:val="008F523D"/>
    <w:rsid w:val="009002B0"/>
    <w:rsid w:val="00904CE2"/>
    <w:rsid w:val="00910143"/>
    <w:rsid w:val="0091182E"/>
    <w:rsid w:val="00911FAD"/>
    <w:rsid w:val="009120FA"/>
    <w:rsid w:val="0091282E"/>
    <w:rsid w:val="009138A8"/>
    <w:rsid w:val="009175A5"/>
    <w:rsid w:val="00920404"/>
    <w:rsid w:val="00930183"/>
    <w:rsid w:val="00931685"/>
    <w:rsid w:val="009317D0"/>
    <w:rsid w:val="00942B3B"/>
    <w:rsid w:val="00944E72"/>
    <w:rsid w:val="00955891"/>
    <w:rsid w:val="0095684D"/>
    <w:rsid w:val="00962989"/>
    <w:rsid w:val="00982268"/>
    <w:rsid w:val="00983DFA"/>
    <w:rsid w:val="00987BF0"/>
    <w:rsid w:val="00990E84"/>
    <w:rsid w:val="009944DE"/>
    <w:rsid w:val="00996997"/>
    <w:rsid w:val="009A2A80"/>
    <w:rsid w:val="009A3101"/>
    <w:rsid w:val="009A45B4"/>
    <w:rsid w:val="009A7B0B"/>
    <w:rsid w:val="009B328D"/>
    <w:rsid w:val="009B635F"/>
    <w:rsid w:val="009C3CE0"/>
    <w:rsid w:val="009D11BF"/>
    <w:rsid w:val="009D16B9"/>
    <w:rsid w:val="009D25C5"/>
    <w:rsid w:val="009D2F1B"/>
    <w:rsid w:val="009D44CC"/>
    <w:rsid w:val="009E02EB"/>
    <w:rsid w:val="009F0E67"/>
    <w:rsid w:val="009F2C36"/>
    <w:rsid w:val="009F53E4"/>
    <w:rsid w:val="00A00755"/>
    <w:rsid w:val="00A061F7"/>
    <w:rsid w:val="00A06848"/>
    <w:rsid w:val="00A0688F"/>
    <w:rsid w:val="00A0703B"/>
    <w:rsid w:val="00A0710B"/>
    <w:rsid w:val="00A12A01"/>
    <w:rsid w:val="00A168DF"/>
    <w:rsid w:val="00A21C7D"/>
    <w:rsid w:val="00A26086"/>
    <w:rsid w:val="00A30D29"/>
    <w:rsid w:val="00A3240A"/>
    <w:rsid w:val="00A379CF"/>
    <w:rsid w:val="00A416F2"/>
    <w:rsid w:val="00A478D2"/>
    <w:rsid w:val="00A5229D"/>
    <w:rsid w:val="00A559B0"/>
    <w:rsid w:val="00A63915"/>
    <w:rsid w:val="00A6676B"/>
    <w:rsid w:val="00A73249"/>
    <w:rsid w:val="00A751B1"/>
    <w:rsid w:val="00A75940"/>
    <w:rsid w:val="00A83367"/>
    <w:rsid w:val="00A9077D"/>
    <w:rsid w:val="00A921D7"/>
    <w:rsid w:val="00A94F42"/>
    <w:rsid w:val="00A96802"/>
    <w:rsid w:val="00AA1D08"/>
    <w:rsid w:val="00AB0CA8"/>
    <w:rsid w:val="00AB1B9A"/>
    <w:rsid w:val="00AB423D"/>
    <w:rsid w:val="00AB5DAC"/>
    <w:rsid w:val="00AC3304"/>
    <w:rsid w:val="00AC76CD"/>
    <w:rsid w:val="00AD03B1"/>
    <w:rsid w:val="00AD0F26"/>
    <w:rsid w:val="00AD2DE9"/>
    <w:rsid w:val="00AD5141"/>
    <w:rsid w:val="00AE08EF"/>
    <w:rsid w:val="00AE10D7"/>
    <w:rsid w:val="00AE4792"/>
    <w:rsid w:val="00AE4A74"/>
    <w:rsid w:val="00AE7CDF"/>
    <w:rsid w:val="00AF2281"/>
    <w:rsid w:val="00AF31DC"/>
    <w:rsid w:val="00AF4B06"/>
    <w:rsid w:val="00B01EA4"/>
    <w:rsid w:val="00B0241A"/>
    <w:rsid w:val="00B05AEA"/>
    <w:rsid w:val="00B07A81"/>
    <w:rsid w:val="00B12F3A"/>
    <w:rsid w:val="00B14939"/>
    <w:rsid w:val="00B2155B"/>
    <w:rsid w:val="00B21826"/>
    <w:rsid w:val="00B218BC"/>
    <w:rsid w:val="00B226ED"/>
    <w:rsid w:val="00B25C02"/>
    <w:rsid w:val="00B325E4"/>
    <w:rsid w:val="00B331B2"/>
    <w:rsid w:val="00B336E7"/>
    <w:rsid w:val="00B34180"/>
    <w:rsid w:val="00B34EE6"/>
    <w:rsid w:val="00B37205"/>
    <w:rsid w:val="00B407C7"/>
    <w:rsid w:val="00B504A6"/>
    <w:rsid w:val="00B53B65"/>
    <w:rsid w:val="00B60A51"/>
    <w:rsid w:val="00B60E24"/>
    <w:rsid w:val="00B64DFF"/>
    <w:rsid w:val="00B70B2E"/>
    <w:rsid w:val="00B7390B"/>
    <w:rsid w:val="00B80DCC"/>
    <w:rsid w:val="00B8250F"/>
    <w:rsid w:val="00B830AC"/>
    <w:rsid w:val="00B86E4D"/>
    <w:rsid w:val="00B92126"/>
    <w:rsid w:val="00BA5C01"/>
    <w:rsid w:val="00BC0297"/>
    <w:rsid w:val="00BC7042"/>
    <w:rsid w:val="00BC7383"/>
    <w:rsid w:val="00BE4F65"/>
    <w:rsid w:val="00BF29C3"/>
    <w:rsid w:val="00BF2A40"/>
    <w:rsid w:val="00BF68B7"/>
    <w:rsid w:val="00C04685"/>
    <w:rsid w:val="00C04CF2"/>
    <w:rsid w:val="00C05C0F"/>
    <w:rsid w:val="00C17FE5"/>
    <w:rsid w:val="00C24A02"/>
    <w:rsid w:val="00C30AE5"/>
    <w:rsid w:val="00C3257E"/>
    <w:rsid w:val="00C44F42"/>
    <w:rsid w:val="00C54D10"/>
    <w:rsid w:val="00C5581E"/>
    <w:rsid w:val="00C57A6A"/>
    <w:rsid w:val="00C57DE2"/>
    <w:rsid w:val="00C63F51"/>
    <w:rsid w:val="00C640F1"/>
    <w:rsid w:val="00C71A90"/>
    <w:rsid w:val="00C74B21"/>
    <w:rsid w:val="00C756DF"/>
    <w:rsid w:val="00C842AE"/>
    <w:rsid w:val="00C86F8B"/>
    <w:rsid w:val="00C9447B"/>
    <w:rsid w:val="00C94D4A"/>
    <w:rsid w:val="00C96B6E"/>
    <w:rsid w:val="00CA0E9A"/>
    <w:rsid w:val="00CA3619"/>
    <w:rsid w:val="00CA3BC0"/>
    <w:rsid w:val="00CA4B46"/>
    <w:rsid w:val="00CA578C"/>
    <w:rsid w:val="00CB19D3"/>
    <w:rsid w:val="00CB2136"/>
    <w:rsid w:val="00CB35B7"/>
    <w:rsid w:val="00CB4A64"/>
    <w:rsid w:val="00CB5E45"/>
    <w:rsid w:val="00CB7659"/>
    <w:rsid w:val="00CC0E8B"/>
    <w:rsid w:val="00CC19E9"/>
    <w:rsid w:val="00CC27ED"/>
    <w:rsid w:val="00CC3BD2"/>
    <w:rsid w:val="00CC576A"/>
    <w:rsid w:val="00CD00E7"/>
    <w:rsid w:val="00CD5824"/>
    <w:rsid w:val="00D011AF"/>
    <w:rsid w:val="00D0289D"/>
    <w:rsid w:val="00D20E5A"/>
    <w:rsid w:val="00D220BF"/>
    <w:rsid w:val="00D23FB5"/>
    <w:rsid w:val="00D27C94"/>
    <w:rsid w:val="00D33603"/>
    <w:rsid w:val="00D340F4"/>
    <w:rsid w:val="00D3781C"/>
    <w:rsid w:val="00D37D07"/>
    <w:rsid w:val="00D41E15"/>
    <w:rsid w:val="00D46022"/>
    <w:rsid w:val="00D54392"/>
    <w:rsid w:val="00D55C33"/>
    <w:rsid w:val="00D569F7"/>
    <w:rsid w:val="00D57535"/>
    <w:rsid w:val="00D608A1"/>
    <w:rsid w:val="00D627A6"/>
    <w:rsid w:val="00D64417"/>
    <w:rsid w:val="00D652A5"/>
    <w:rsid w:val="00D71B8E"/>
    <w:rsid w:val="00D916F5"/>
    <w:rsid w:val="00DA40A6"/>
    <w:rsid w:val="00DB1490"/>
    <w:rsid w:val="00DD1634"/>
    <w:rsid w:val="00DD773E"/>
    <w:rsid w:val="00DE00FC"/>
    <w:rsid w:val="00DE79F4"/>
    <w:rsid w:val="00DF14AC"/>
    <w:rsid w:val="00DF6025"/>
    <w:rsid w:val="00DF6AAA"/>
    <w:rsid w:val="00E05904"/>
    <w:rsid w:val="00E05EC6"/>
    <w:rsid w:val="00E120A6"/>
    <w:rsid w:val="00E12C34"/>
    <w:rsid w:val="00E22C61"/>
    <w:rsid w:val="00E24C8C"/>
    <w:rsid w:val="00E25E27"/>
    <w:rsid w:val="00E414C1"/>
    <w:rsid w:val="00E43EB3"/>
    <w:rsid w:val="00E54A93"/>
    <w:rsid w:val="00E57CD5"/>
    <w:rsid w:val="00E61CED"/>
    <w:rsid w:val="00E63535"/>
    <w:rsid w:val="00E63B8A"/>
    <w:rsid w:val="00E67075"/>
    <w:rsid w:val="00E704D4"/>
    <w:rsid w:val="00E7078F"/>
    <w:rsid w:val="00E7082C"/>
    <w:rsid w:val="00E70EB3"/>
    <w:rsid w:val="00E71273"/>
    <w:rsid w:val="00E7255D"/>
    <w:rsid w:val="00E73B47"/>
    <w:rsid w:val="00E804BE"/>
    <w:rsid w:val="00E80F7B"/>
    <w:rsid w:val="00E92E6B"/>
    <w:rsid w:val="00E93953"/>
    <w:rsid w:val="00E95489"/>
    <w:rsid w:val="00E960E9"/>
    <w:rsid w:val="00E961DE"/>
    <w:rsid w:val="00EA0C1B"/>
    <w:rsid w:val="00EA56AC"/>
    <w:rsid w:val="00EA6080"/>
    <w:rsid w:val="00EC3F49"/>
    <w:rsid w:val="00ED3420"/>
    <w:rsid w:val="00EE06DD"/>
    <w:rsid w:val="00EE31D6"/>
    <w:rsid w:val="00EE6949"/>
    <w:rsid w:val="00EF5212"/>
    <w:rsid w:val="00F02C85"/>
    <w:rsid w:val="00F03305"/>
    <w:rsid w:val="00F075BB"/>
    <w:rsid w:val="00F121FC"/>
    <w:rsid w:val="00F13D00"/>
    <w:rsid w:val="00F20A7D"/>
    <w:rsid w:val="00F24338"/>
    <w:rsid w:val="00F26614"/>
    <w:rsid w:val="00F3310F"/>
    <w:rsid w:val="00F354DA"/>
    <w:rsid w:val="00F36C5A"/>
    <w:rsid w:val="00F4272C"/>
    <w:rsid w:val="00F47B77"/>
    <w:rsid w:val="00F55FB3"/>
    <w:rsid w:val="00F61D8B"/>
    <w:rsid w:val="00F62779"/>
    <w:rsid w:val="00F6374D"/>
    <w:rsid w:val="00F65C68"/>
    <w:rsid w:val="00F71A01"/>
    <w:rsid w:val="00F76020"/>
    <w:rsid w:val="00F83A53"/>
    <w:rsid w:val="00F87000"/>
    <w:rsid w:val="00F87082"/>
    <w:rsid w:val="00FB1C56"/>
    <w:rsid w:val="00FB3AE2"/>
    <w:rsid w:val="00FB465D"/>
    <w:rsid w:val="00FB691C"/>
    <w:rsid w:val="00FC2236"/>
    <w:rsid w:val="00FC415C"/>
    <w:rsid w:val="00FC50D6"/>
    <w:rsid w:val="00FC5310"/>
    <w:rsid w:val="00FD272C"/>
    <w:rsid w:val="00FD51BE"/>
    <w:rsid w:val="00FE2607"/>
    <w:rsid w:val="00FE6AE9"/>
    <w:rsid w:val="00FF0FDF"/>
    <w:rsid w:val="00FF4D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C34595-4ECA-4A04-90DA-88FD8545E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B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6B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6B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6B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6B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6B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B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B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B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B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6B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6B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6B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6B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6B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B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B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B6E"/>
    <w:rPr>
      <w:rFonts w:eastAsiaTheme="majorEastAsia" w:cstheme="majorBidi"/>
      <w:color w:val="272727" w:themeColor="text1" w:themeTint="D8"/>
    </w:rPr>
  </w:style>
  <w:style w:type="paragraph" w:styleId="Title">
    <w:name w:val="Title"/>
    <w:basedOn w:val="Normal"/>
    <w:next w:val="Normal"/>
    <w:link w:val="TitleChar"/>
    <w:uiPriority w:val="10"/>
    <w:qFormat/>
    <w:rsid w:val="00C96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B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B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B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B6E"/>
    <w:pPr>
      <w:spacing w:before="160"/>
      <w:jc w:val="center"/>
    </w:pPr>
    <w:rPr>
      <w:i/>
      <w:iCs/>
      <w:color w:val="404040" w:themeColor="text1" w:themeTint="BF"/>
    </w:rPr>
  </w:style>
  <w:style w:type="character" w:customStyle="1" w:styleId="QuoteChar">
    <w:name w:val="Quote Char"/>
    <w:basedOn w:val="DefaultParagraphFont"/>
    <w:link w:val="Quote"/>
    <w:uiPriority w:val="29"/>
    <w:rsid w:val="00C96B6E"/>
    <w:rPr>
      <w:i/>
      <w:iCs/>
      <w:color w:val="404040" w:themeColor="text1" w:themeTint="BF"/>
    </w:rPr>
  </w:style>
  <w:style w:type="paragraph" w:styleId="ListParagraph">
    <w:name w:val="List Paragraph"/>
    <w:basedOn w:val="Normal"/>
    <w:uiPriority w:val="34"/>
    <w:qFormat/>
    <w:rsid w:val="00C96B6E"/>
    <w:pPr>
      <w:ind w:left="720"/>
      <w:contextualSpacing/>
    </w:pPr>
  </w:style>
  <w:style w:type="character" w:styleId="IntenseEmphasis">
    <w:name w:val="Intense Emphasis"/>
    <w:basedOn w:val="DefaultParagraphFont"/>
    <w:uiPriority w:val="21"/>
    <w:qFormat/>
    <w:rsid w:val="00C96B6E"/>
    <w:rPr>
      <w:i/>
      <w:iCs/>
      <w:color w:val="2F5496" w:themeColor="accent1" w:themeShade="BF"/>
    </w:rPr>
  </w:style>
  <w:style w:type="paragraph" w:styleId="IntenseQuote">
    <w:name w:val="Intense Quote"/>
    <w:basedOn w:val="Normal"/>
    <w:next w:val="Normal"/>
    <w:link w:val="IntenseQuoteChar"/>
    <w:uiPriority w:val="30"/>
    <w:qFormat/>
    <w:rsid w:val="00C96B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6B6E"/>
    <w:rPr>
      <w:i/>
      <w:iCs/>
      <w:color w:val="2F5496" w:themeColor="accent1" w:themeShade="BF"/>
    </w:rPr>
  </w:style>
  <w:style w:type="character" w:styleId="IntenseReference">
    <w:name w:val="Intense Reference"/>
    <w:basedOn w:val="DefaultParagraphFont"/>
    <w:uiPriority w:val="32"/>
    <w:qFormat/>
    <w:rsid w:val="00C96B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2292</Words>
  <Characters>13067</Characters>
  <Application>Microsoft Office Word</Application>
  <DocSecurity>0</DocSecurity>
  <Lines>108</Lines>
  <Paragraphs>30</Paragraphs>
  <ScaleCrop>false</ScaleCrop>
  <Company/>
  <LinksUpToDate>false</LinksUpToDate>
  <CharactersWithSpaces>15329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Abdelkader Atia</dc:creator>
  <cp:keywords/>
  <dc:description/>
  <cp:lastModifiedBy>Abdelkader Atia</cp:lastModifiedBy>
  <cp:revision>3</cp:revision>
  <dcterms:created xsi:type="dcterms:W3CDTF">2026-02-26T09:18:00Z</dcterms:created>
  <dcterms:modified xsi:type="dcterms:W3CDTF">2026-02-26T22:35:00Z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bc26c68e-88ec-416d-a708-85cde4de8276</vt:lpwstr>
  </property>
</Properties>
</file>