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8097" w14:textId="46F153F8" w:rsidR="00140F05" w:rsidRPr="005768C8" w:rsidRDefault="002A5E84" w:rsidP="000151FE">
      <w:pPr>
        <w:spacing w:before="100" w:beforeAutospacing="1" w:after="100" w:afterAutospacing="1"/>
        <w:jc w:val="both"/>
        <w:rPr>
          <w:rFonts w:ascii="Garamond" w:hAnsi="Garamond"/>
          <w:b/>
          <w:bCs/>
          <w:lang w:val="en-GB"/>
        </w:rPr>
      </w:pPr>
      <w:r w:rsidRPr="005768C8">
        <w:rPr>
          <w:rFonts w:ascii="Garamond" w:hAnsi="Garamond"/>
          <w:b/>
          <w:bCs/>
          <w:lang w:val="en-GB"/>
        </w:rPr>
        <w:t>Materials and methods</w:t>
      </w:r>
    </w:p>
    <w:p w14:paraId="423AFF91"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3.1 Overview of Research Design</w:t>
      </w:r>
    </w:p>
    <w:p w14:paraId="6C6B27ED" w14:textId="3009B6BD" w:rsidR="00140F05" w:rsidRPr="005768C8" w:rsidRDefault="00AF2644" w:rsidP="000151FE">
      <w:pPr>
        <w:spacing w:before="100" w:beforeAutospacing="1" w:after="100" w:afterAutospacing="1"/>
        <w:jc w:val="both"/>
        <w:rPr>
          <w:rFonts w:ascii="Garamond" w:hAnsi="Garamond"/>
          <w:lang w:val="en-GB"/>
        </w:rPr>
      </w:pPr>
      <w:r>
        <w:rPr>
          <w:rFonts w:ascii="Garamond" w:hAnsi="Garamond"/>
          <w:lang w:val="en-GB"/>
        </w:rPr>
        <w:t>This study used a multi-experimental design to assess the conservative influence of date palm pollen (DPP) on epididymal sperm retrieved from sheep after slaughter. Three interconnected studies were carried out: (1) a socioeconomic and trait preference survey of sheep keepers in the El Oued region to establish the context and conservation priorities for indigenous sheep genetic resources; (2) phytochemical characterization and antioxidant assessment of DPP to validate its biochemical composition and biological activity; and (3) a controlled laboratory experiment evaluating DPP's conservative effects on post-slaughter ovine epididymal This triangulated strategy ensures that technical discoveries are based on field conservation needs and validated by rigorous biochemical confirmation.</w:t>
      </w:r>
    </w:p>
    <w:p w14:paraId="65E7AF86" w14:textId="3F1CEA64" w:rsidR="00140F05" w:rsidRPr="005768C8" w:rsidRDefault="00AF2644" w:rsidP="000151FE">
      <w:pPr>
        <w:spacing w:before="100" w:beforeAutospacing="1" w:after="100" w:afterAutospacing="1"/>
        <w:jc w:val="both"/>
        <w:rPr>
          <w:rFonts w:ascii="Garamond" w:hAnsi="Garamond"/>
          <w:lang w:val="en-GB"/>
        </w:rPr>
      </w:pPr>
      <w:r>
        <w:rPr>
          <w:rFonts w:ascii="Garamond" w:hAnsi="Garamond"/>
          <w:lang w:val="en-GB"/>
        </w:rPr>
        <w:t xml:space="preserve">All animal-related experiments were carried out post-mortem at a licensed abattoir, with no live animals involved. </w:t>
      </w:r>
    </w:p>
    <w:p w14:paraId="04458E69"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3.2 Experiment 1: Socioeconomic Context and Trait Preference Assessment</w:t>
      </w:r>
    </w:p>
    <w:p w14:paraId="7B7506BE"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3.2.1 Study Area and Rationale</w:t>
      </w:r>
    </w:p>
    <w:p w14:paraId="5390947E" w14:textId="300BF5CE" w:rsidR="00140F05" w:rsidRPr="005768C8" w:rsidRDefault="00AF2644" w:rsidP="000151FE">
      <w:pPr>
        <w:spacing w:before="100" w:beforeAutospacing="1" w:after="100" w:afterAutospacing="1"/>
        <w:jc w:val="both"/>
        <w:rPr>
          <w:rFonts w:ascii="Garamond" w:hAnsi="Garamond"/>
          <w:lang w:val="en-GB"/>
        </w:rPr>
      </w:pPr>
      <w:r>
        <w:rPr>
          <w:rFonts w:ascii="Garamond" w:hAnsi="Garamond"/>
          <w:lang w:val="en-GB"/>
        </w:rPr>
        <w:t>This study was carried out in the El Oued region of Southeast Algeria (33°22'16.823" N, 6°50'52.686" E), a key centre of date palm agriculture and sheep production in the Algerian Sahara. The region's agroecological characteristics, including an arid environment, substantial pastoral systems, and the combination of date palm and sheep production, make it a model for post-slaughter genetic rescue and field-applicable preservation measures. The presence of date palm orchards and sheep flocks in this region lays the geographical and cultural groundwork for DPP use in genetic conservation.</w:t>
      </w:r>
    </w:p>
    <w:p w14:paraId="6C9D8E25"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3.2.2 Sampling Procedure and Participant Selection</w:t>
      </w:r>
    </w:p>
    <w:p w14:paraId="7363229D" w14:textId="63ECFA3F" w:rsidR="00140F05" w:rsidRPr="005768C8" w:rsidRDefault="00AF2644" w:rsidP="000151FE">
      <w:pPr>
        <w:spacing w:before="100" w:beforeAutospacing="1" w:after="100" w:afterAutospacing="1"/>
        <w:jc w:val="both"/>
        <w:rPr>
          <w:rFonts w:ascii="Garamond" w:hAnsi="Garamond"/>
          <w:lang w:val="en-GB"/>
        </w:rPr>
      </w:pPr>
      <w:r>
        <w:rPr>
          <w:rFonts w:ascii="Garamond" w:hAnsi="Garamond"/>
          <w:lang w:val="en-GB"/>
        </w:rPr>
        <w:t>To ensure that the sheep production systems in the region were represented, a stratified random sample approach was used. 200 sheep keepers were chosen at random from eight municipalities: El Oued (capital), Debila, Guemar, Hassi Khelifa, Mih Ouensa, Ourmes, Robbah, and Taleb Larbi. Selection criteria included: (a) participation in the government's 2023 national sheep numbering initiative, which ensures official recognition and flock recording; (b) use of grazing-based agricultural practices typical of the region; and (c) readiness to participate in research.</w:t>
      </w:r>
    </w:p>
    <w:p w14:paraId="3D33E6EF" w14:textId="34B7B2BA" w:rsidR="00140F05" w:rsidRPr="005768C8" w:rsidRDefault="00AF2644" w:rsidP="000151FE">
      <w:pPr>
        <w:spacing w:before="100" w:beforeAutospacing="1" w:after="100" w:afterAutospacing="1"/>
        <w:jc w:val="both"/>
        <w:rPr>
          <w:rFonts w:ascii="Garamond" w:hAnsi="Garamond"/>
          <w:lang w:val="en-GB"/>
        </w:rPr>
      </w:pPr>
      <w:r>
        <w:rPr>
          <w:rFonts w:ascii="Garamond" w:hAnsi="Garamond"/>
          <w:lang w:val="en-GB"/>
        </w:rPr>
        <w:t>Flock size categories were created to reflect production system diversity: &lt;20 animals (smallholder), 20-50 animals (medium), 50-100 animals (large), and &gt;100 animals (commercial). This stratification ensures that conservation priorities encompass the entire range of sheep keepers, from subsistence to commercial producers.</w:t>
      </w:r>
    </w:p>
    <w:p w14:paraId="0B2F2915"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3.2.3 Data Collection Instruments</w:t>
      </w:r>
    </w:p>
    <w:p w14:paraId="2B47BE55" w14:textId="2B8D5F55" w:rsidR="00140F05" w:rsidRPr="00AF2644" w:rsidRDefault="00AF2644" w:rsidP="000151FE">
      <w:pPr>
        <w:spacing w:before="100" w:beforeAutospacing="1" w:after="100" w:afterAutospacing="1"/>
        <w:jc w:val="both"/>
        <w:rPr>
          <w:rFonts w:ascii="Garamond" w:hAnsi="Garamond"/>
          <w:lang w:val="en-GB"/>
        </w:rPr>
      </w:pPr>
      <w:r w:rsidRPr="00AF2644">
        <w:rPr>
          <w:rFonts w:ascii="Garamond" w:hAnsi="Garamond"/>
          <w:lang w:val="en-GB"/>
        </w:rPr>
        <w:t xml:space="preserve">Semi-structured questionnaires with open-ended and closed questions were created to collect comprehensive data on: (a) socioeconomic characteristics (age, education, experience, primary </w:t>
      </w:r>
      <w:r w:rsidRPr="00AF2644">
        <w:rPr>
          <w:rFonts w:ascii="Garamond" w:hAnsi="Garamond"/>
          <w:lang w:val="en-GB"/>
        </w:rPr>
        <w:lastRenderedPageBreak/>
        <w:t>occupation); (b) flock size, structure, and management; and (c) specific trait preferences for male and female sheep, including reproductive performance, adaptation, and production characteristics pertinent to genetic conservation priorities.</w:t>
      </w:r>
    </w:p>
    <w:p w14:paraId="7A5D8317" w14:textId="724F7230" w:rsidR="00140F05" w:rsidRPr="005768C8" w:rsidRDefault="00E170C3" w:rsidP="000151FE">
      <w:pPr>
        <w:spacing w:before="100" w:beforeAutospacing="1" w:after="100" w:afterAutospacing="1"/>
        <w:jc w:val="both"/>
        <w:rPr>
          <w:rFonts w:ascii="Garamond" w:hAnsi="Garamond"/>
          <w:lang w:val="en-GB"/>
        </w:rPr>
      </w:pPr>
      <w:r>
        <w:rPr>
          <w:rFonts w:ascii="Garamond" w:hAnsi="Garamond"/>
          <w:lang w:val="en-GB"/>
        </w:rPr>
        <w:t xml:space="preserve">Questionnaires were pre-tested with 10 sheep keepers in each municipality to ensure relevance and adaptation to local conditions, as recommended for survey instrument validation. </w:t>
      </w:r>
      <w:r w:rsidR="00172A69" w:rsidRPr="005768C8">
        <w:rPr>
          <w:rFonts w:ascii="Garamond" w:hAnsi="Garamond"/>
          <w:b/>
          <w:bCs/>
          <w:lang w:val="en-GB"/>
        </w:rPr>
        <w:fldChar w:fldCharType="begin"/>
      </w:r>
      <w:r w:rsidR="00172A69" w:rsidRPr="005768C8">
        <w:rPr>
          <w:rFonts w:ascii="Garamond" w:hAnsi="Garamond"/>
          <w:b/>
          <w:bCs/>
          <w:lang w:val="en-GB"/>
        </w:rPr>
        <w:instrText xml:space="preserve"> ADDIN ZOTERO_ITEM CSL_CITATION {"citationID":"ApSbYKPa","properties":{"unsorted":false,"formattedCitation":"(Dossa et al., 2015)","plainCitation":"(Dossa et al., 2015)","noteIndex":0},"citationItems":[{"id":650,"uris":["http://zotero.org/users/local/k5HYdJTW/items/QQX2MXWA"],"itemData":{"id":650,"type":"article-journal","container-title":"SpringerPlus","DOI":"10.1186/s40064-015-1075-7","ISSN":"2193-1801","issue":"1","journalAbbreviation":"SpringerPlus","language":"en","page":"281","source":"DOI.org (Crossref)","title":"Production objectives and breeding practices of urban goat and sheep keepers in West Africa: regional analysis and implications for the development of supportive breeding programs","title-short":"Production objectives and breeding practices of urban goat and sheep keepers in West Africa","volume":"4","author":[{"family":"Dossa","given":"Luc Hippolyte"},{"family":"Sangaré","given":"Mamadou"},{"family":"Buerkert","given":"Andreas"},{"family":"Schlecht","given":"Eva"}],"issued":{"date-parts":[["2015",12]]}}}],"schema":"https://github.com/citation-style-language/schema/raw/master/csl-citation.json"} </w:instrText>
      </w:r>
      <w:r w:rsidR="00172A69" w:rsidRPr="005768C8">
        <w:rPr>
          <w:rFonts w:ascii="Garamond" w:hAnsi="Garamond"/>
          <w:b/>
          <w:bCs/>
          <w:lang w:val="en-GB"/>
        </w:rPr>
        <w:fldChar w:fldCharType="separate"/>
      </w:r>
      <w:r w:rsidR="00172A69" w:rsidRPr="005768C8">
        <w:rPr>
          <w:rFonts w:ascii="Garamond" w:hAnsi="Garamond"/>
          <w:b/>
          <w:bCs/>
          <w:lang w:val="en-GB"/>
        </w:rPr>
        <w:t>(Dossa et al., 2015)</w:t>
      </w:r>
      <w:r w:rsidR="00172A69" w:rsidRPr="005768C8">
        <w:rPr>
          <w:rFonts w:ascii="Garamond" w:hAnsi="Garamond"/>
          <w:b/>
          <w:bCs/>
          <w:lang w:val="en-GB"/>
        </w:rPr>
        <w:fldChar w:fldCharType="end"/>
      </w:r>
      <w:r w:rsidR="00140F05" w:rsidRPr="005768C8">
        <w:rPr>
          <w:rFonts w:ascii="Garamond" w:hAnsi="Garamond"/>
          <w:lang w:val="en-GB"/>
        </w:rPr>
        <w:t xml:space="preserve"> </w:t>
      </w:r>
      <w:r>
        <w:rPr>
          <w:rFonts w:ascii="Garamond" w:hAnsi="Garamond"/>
          <w:lang w:val="en-GB"/>
        </w:rPr>
        <w:t>Pre-testing evaluated question comprehension, response option suitability, and interview duration, with improvements made for clarity and cultural sensitivity.</w:t>
      </w:r>
    </w:p>
    <w:p w14:paraId="393EFABD"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3.2.4 Statistical Analysis</w:t>
      </w:r>
    </w:p>
    <w:p w14:paraId="4025E5EC" w14:textId="7F6FE425" w:rsidR="00140F05" w:rsidRPr="005768C8" w:rsidRDefault="004C55AA" w:rsidP="000151FE">
      <w:pPr>
        <w:spacing w:before="100" w:beforeAutospacing="1" w:after="100" w:afterAutospacing="1"/>
        <w:jc w:val="both"/>
        <w:rPr>
          <w:rFonts w:ascii="Garamond" w:hAnsi="Garamond"/>
          <w:lang w:val="en-GB"/>
        </w:rPr>
      </w:pPr>
      <w:r w:rsidRPr="004C55AA">
        <w:rPr>
          <w:rFonts w:ascii="Garamond" w:hAnsi="Garamond"/>
          <w:lang w:val="en-GB"/>
        </w:rPr>
        <w:t xml:space="preserve">A multivariate analysis of variance (MANOVA) was used to determine the effects of age, education, experience, and occupation on trait preferences among sheep keepers. Pillai's trace was chosen as the major multivariate test statistic because it is robust to violations of assumptions, such as mismatched sample sizes and heterogeneity of covariance matrices. </w:t>
      </w:r>
      <w:r w:rsidR="0056789B" w:rsidRPr="005768C8">
        <w:rPr>
          <w:rFonts w:ascii="Garamond" w:hAnsi="Garamond"/>
          <w:b/>
          <w:bCs/>
          <w:lang w:val="en-GB"/>
        </w:rPr>
        <w:fldChar w:fldCharType="begin"/>
      </w:r>
      <w:r w:rsidR="0056789B" w:rsidRPr="005768C8">
        <w:rPr>
          <w:rFonts w:ascii="Garamond" w:hAnsi="Garamond"/>
          <w:b/>
          <w:bCs/>
          <w:lang w:val="en-GB"/>
        </w:rPr>
        <w:instrText xml:space="preserve"> ADDIN ZOTERO_ITEM CSL_CITATION {"citationID":"UKy4CAHJ","properties":{"unsorted":false,"formattedCitation":"(Olson, 1976; Tabachnick &amp; Fidell, 2025)","plainCitation":"(Olson, 1976; Tabachnick &amp; Fidell, 2025)","noteIndex":0},"citationItems":[{"id":652,"uris":["http://zotero.org/users/local/k5HYdJTW/items/FZXRSQSG"],"itemData":{"id":652,"type":"article-journal","container-title":"Psychological Bulletin","DOI":"10.1037/0033-2909.83.4.579","ISSN":"1939-1455, 0033-2909","issue":"4","journalAbbreviation":"Psychological Bulletin","language":"en","page":"579-586","source":"DOI.org (Crossref)","title":"On choosing a test statistic in multivariate analysis of variance.","volume":"83","author":[{"family":"Olson","given":"Chester L."}],"issued":{"date-parts":[["1976",7]]}}},{"id":653,"uris":["http://zotero.org/users/local/k5HYdJTW/items/SIWEVTPY"],"itemData":{"id":653,"type":"chapter","container-title":"International Encyclopedia of Statistical Science","DOI":"10.1007/978-3-662-69359-9_398","ISBN":"978-3-662-69358-2","language":"en","page":"1616-1619","publisher":"Springer Berlin Heidelberg","publisher-place":"Berlin, Heidelberg","source":"DOI.org (Crossref)","title":"Multivariate Analysis of Variance (MANOVA)","URL":"https://link.springer.com/10.1007/978-3-662-69359-9_398","editor":[{"family":"Lovric","given":"Miodrag"}],"author":[{"family":"Tabachnick","given":"Barbara G."},{"family":"Fidell","given":"Linda S."}],"accessed":{"date-parts":[["2026",3,3]]},"issued":{"date-parts":[["2025"]]}}}],"schema":"https://github.com/citation-style-language/schema/raw/master/csl-citation.json"} </w:instrText>
      </w:r>
      <w:r w:rsidR="0056789B" w:rsidRPr="005768C8">
        <w:rPr>
          <w:rFonts w:ascii="Garamond" w:hAnsi="Garamond"/>
          <w:b/>
          <w:bCs/>
          <w:lang w:val="en-GB"/>
        </w:rPr>
        <w:fldChar w:fldCharType="separate"/>
      </w:r>
      <w:r w:rsidR="0056789B" w:rsidRPr="005768C8">
        <w:rPr>
          <w:rFonts w:ascii="Garamond" w:hAnsi="Garamond"/>
          <w:b/>
          <w:bCs/>
          <w:lang w:val="en-GB"/>
        </w:rPr>
        <w:t>(Olson, 1976; Tabachnick &amp; Fidell, 2025)</w:t>
      </w:r>
      <w:r w:rsidR="0056789B" w:rsidRPr="005768C8">
        <w:rPr>
          <w:rFonts w:ascii="Garamond" w:hAnsi="Garamond"/>
          <w:b/>
          <w:bCs/>
          <w:lang w:val="en-GB"/>
        </w:rPr>
        <w:fldChar w:fldCharType="end"/>
      </w:r>
      <w:r w:rsidR="0056789B" w:rsidRPr="005768C8">
        <w:rPr>
          <w:rFonts w:ascii="Garamond" w:hAnsi="Garamond"/>
          <w:lang w:val="en-GB"/>
        </w:rPr>
        <w:t xml:space="preserve">. </w:t>
      </w:r>
      <w:r w:rsidR="00455C13" w:rsidRPr="00455C13">
        <w:rPr>
          <w:rFonts w:ascii="Garamond" w:hAnsi="Garamond"/>
          <w:lang w:val="en-GB"/>
        </w:rPr>
        <w:t>Partial eta squared (η²) measures the fraction of variance in dependent variables that can be explained by independent variables. Significance was determined at α = 0.05. All analyses were carried out using IBM SPSS Statistics version 27.0.</w:t>
      </w:r>
    </w:p>
    <w:p w14:paraId="08F27098" w14:textId="61FB4A9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 xml:space="preserve">3.3 Experiment 2: Phytochemical </w:t>
      </w:r>
      <w:r w:rsidR="00643678" w:rsidRPr="005768C8">
        <w:rPr>
          <w:rFonts w:ascii="Garamond" w:hAnsi="Garamond"/>
          <w:b/>
          <w:bCs/>
          <w:lang w:val="en-GB"/>
        </w:rPr>
        <w:t>Characterisation</w:t>
      </w:r>
      <w:r w:rsidRPr="005768C8">
        <w:rPr>
          <w:rFonts w:ascii="Garamond" w:hAnsi="Garamond"/>
          <w:b/>
          <w:bCs/>
          <w:lang w:val="en-GB"/>
        </w:rPr>
        <w:t xml:space="preserve"> and Antioxidant Assessment of Date Palm Pollen</w:t>
      </w:r>
    </w:p>
    <w:p w14:paraId="57D6333C"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3.3.1 Plant Material Collection and Processing</w:t>
      </w:r>
    </w:p>
    <w:p w14:paraId="4F787198" w14:textId="4FACB464" w:rsidR="00140F05" w:rsidRPr="00455C13" w:rsidRDefault="00455C13" w:rsidP="000151FE">
      <w:pPr>
        <w:spacing w:before="100" w:beforeAutospacing="1" w:after="100" w:afterAutospacing="1"/>
        <w:jc w:val="both"/>
        <w:rPr>
          <w:rFonts w:ascii="Garamond" w:hAnsi="Garamond"/>
          <w:lang w:val="en-GB"/>
        </w:rPr>
      </w:pPr>
      <w:r w:rsidRPr="00455C13">
        <w:rPr>
          <w:rFonts w:ascii="Garamond" w:hAnsi="Garamond"/>
          <w:lang w:val="en-GB"/>
        </w:rPr>
        <w:t>Date palm pollen (DPP) was collected at Hamraia commune, Reguiba District, El Oued Province (34°6′39" N, 6°13′50" E) during the natural flowering season (late March to early April 2024). This region was chosen for its established date palm plantations with a variety of genotypes and near to the sheep production systems described in Experiment 1.</w:t>
      </w:r>
    </w:p>
    <w:p w14:paraId="5AAAA42A" w14:textId="5F8DA9DC" w:rsidR="00140F05" w:rsidRPr="005768C8" w:rsidRDefault="00455C13" w:rsidP="000151FE">
      <w:pPr>
        <w:spacing w:before="100" w:beforeAutospacing="1" w:after="100" w:afterAutospacing="1"/>
        <w:jc w:val="both"/>
        <w:rPr>
          <w:rFonts w:ascii="Garamond" w:hAnsi="Garamond"/>
          <w:lang w:val="en-GB"/>
        </w:rPr>
      </w:pPr>
      <w:r w:rsidRPr="00455C13">
        <w:rPr>
          <w:rFonts w:ascii="Garamond" w:hAnsi="Garamond"/>
          <w:lang w:val="en-GB"/>
        </w:rPr>
        <w:t>The collection</w:t>
      </w:r>
      <w:r w:rsidR="00140F05" w:rsidRPr="00455C13">
        <w:rPr>
          <w:rFonts w:ascii="Garamond" w:hAnsi="Garamond"/>
          <w:lang w:val="en-GB"/>
        </w:rPr>
        <w:t xml:space="preserve"> protocol followed established methods for pollen quality preservation</w:t>
      </w:r>
      <w:r w:rsidR="004F644A" w:rsidRPr="00455C13">
        <w:rPr>
          <w:rFonts w:ascii="Garamond" w:hAnsi="Garamond"/>
          <w:lang w:val="en-GB"/>
        </w:rPr>
        <w:t xml:space="preserve"> </w:t>
      </w:r>
      <w:r w:rsidR="004F644A" w:rsidRPr="005768C8">
        <w:rPr>
          <w:rFonts w:ascii="Garamond" w:hAnsi="Garamond"/>
          <w:b/>
          <w:bCs/>
          <w:lang w:val="en-GB"/>
        </w:rPr>
        <w:fldChar w:fldCharType="begin"/>
      </w:r>
      <w:r w:rsidR="007A2281" w:rsidRPr="005768C8">
        <w:rPr>
          <w:rFonts w:ascii="Garamond" w:hAnsi="Garamond"/>
          <w:b/>
          <w:bCs/>
          <w:lang w:val="en-GB"/>
        </w:rPr>
        <w:instrText xml:space="preserve"> ADDIN ZOTERO_ITEM CSL_CITATION {"citationID":"79Ozr3b6","properties":{"unsorted":false,"formattedCitation":"(Laghouati et al., 2021; Shahin, 2014)","plainCitation":"(Laghouati et al., 2021; Shahin, 2014)","noteIndex":0},"citationItems":[{"id":113,"uris":["http://zotero.org/users/local/k5HYdJTW/items/T66SBMC7"],"itemData":{"id":113,"type":"article-journal","container-title":"Italian Journal of Animal Science","DOI":"10.1080/1828051X.2021.1911696","ISSN":"1828-051X","issue":"1","journalAbbreviation":"Italian Journal of Animal Science","language":"en","page":"717-727","source":"DOI.org (Crossref)","title":"Impact of Algerian date palm pollen aqueous extract on epididymal and ejaculated rabbit sperm motility during &lt;i&gt;in vitro&lt;/i&gt; incubation","volume":"20","author":[{"family":"Laghouati","given":"Amel"},{"family":"Belabbas","given":"Rafik"},{"family":"Castellini","given":"Cesare"},{"family":"Mattioli","given":"Simona"},{"family":"Dal Bosco","given":"Alessandro"},{"family":"Benberkane","given":"Amine"},{"family":"Iguer-Ouada","given":"Mokrane"}],"issued":{"date-parts":[["2021",1,1]]}}},{"id":139,"uris":["http://zotero.org/users/local/k5HYdJTW/items/D4LPS94L"],"itemData":{"id":139,"type":"article-journal","container-title":"Egyptian Journal of Agricultural Research","DOI":"10.21608/ejar.2014.157004","ISSN":"1110-6336","issue":"4","journalAbbreviation":"Egyptian Journal of Agricultural Research","language":"en","page":"1457-1470","source":"DOI.org (Crossref)","title":"UTILIZATION OF DATE PALM POLLEN AS NATURAL SOURCE FOR PRODUCING FUNCTION BAKERY PRODUCT","volume":"92","author":[{"family":"Shahin","given":"Fatma M."}],"issued":{"date-parts":[["2014",9,10]]}}}],"schema":"https://github.com/citation-style-language/schema/raw/master/csl-citation.json"} </w:instrText>
      </w:r>
      <w:r w:rsidR="004F644A" w:rsidRPr="005768C8">
        <w:rPr>
          <w:rFonts w:ascii="Garamond" w:hAnsi="Garamond"/>
          <w:b/>
          <w:bCs/>
          <w:lang w:val="en-GB"/>
        </w:rPr>
        <w:fldChar w:fldCharType="separate"/>
      </w:r>
      <w:r w:rsidR="007A2281" w:rsidRPr="005768C8">
        <w:rPr>
          <w:rFonts w:ascii="Garamond" w:hAnsi="Garamond"/>
          <w:b/>
          <w:bCs/>
          <w:lang w:val="en-GB"/>
        </w:rPr>
        <w:t>(Laghouati et al., 2021; Shahin, 2014)</w:t>
      </w:r>
      <w:r w:rsidR="004F644A" w:rsidRPr="005768C8">
        <w:rPr>
          <w:rFonts w:ascii="Garamond" w:hAnsi="Garamond"/>
          <w:b/>
          <w:bCs/>
          <w:lang w:val="en-GB"/>
        </w:rPr>
        <w:fldChar w:fldCharType="end"/>
      </w:r>
      <w:r>
        <w:rPr>
          <w:rFonts w:ascii="Garamond" w:hAnsi="Garamond"/>
          <w:lang w:val="en-GB"/>
        </w:rPr>
        <w:t xml:space="preserve">: </w:t>
      </w:r>
    </w:p>
    <w:p w14:paraId="5F68D831" w14:textId="79F8336B" w:rsidR="00140F05" w:rsidRPr="00455C13" w:rsidRDefault="00455C13" w:rsidP="000151FE">
      <w:pPr>
        <w:numPr>
          <w:ilvl w:val="0"/>
          <w:numId w:val="1"/>
        </w:numPr>
        <w:spacing w:before="100" w:beforeAutospacing="1" w:after="100" w:afterAutospacing="1"/>
        <w:jc w:val="both"/>
        <w:rPr>
          <w:rFonts w:ascii="Garamond" w:hAnsi="Garamond"/>
          <w:lang w:val="en-GB"/>
        </w:rPr>
      </w:pPr>
      <w:r w:rsidRPr="00455C13">
        <w:rPr>
          <w:rFonts w:ascii="Garamond" w:hAnsi="Garamond"/>
          <w:lang w:val="en-GB"/>
        </w:rPr>
        <w:t xml:space="preserve">Male inflorescence selection: Healthy, mature male date palm trees were selected, and spathes were separated </w:t>
      </w:r>
      <w:r>
        <w:rPr>
          <w:rFonts w:ascii="Garamond" w:hAnsi="Garamond"/>
          <w:lang w:val="en-GB"/>
        </w:rPr>
        <w:t>before</w:t>
      </w:r>
      <w:r w:rsidRPr="00455C13">
        <w:rPr>
          <w:rFonts w:ascii="Garamond" w:hAnsi="Garamond"/>
          <w:lang w:val="en-GB"/>
        </w:rPr>
        <w:t xml:space="preserve"> dehiscence to prevent contamination and ensure pollen maturity.</w:t>
      </w:r>
    </w:p>
    <w:p w14:paraId="543AB015" w14:textId="7573682A" w:rsidR="00140F05" w:rsidRPr="00455C13" w:rsidRDefault="00455C13" w:rsidP="000151FE">
      <w:pPr>
        <w:numPr>
          <w:ilvl w:val="0"/>
          <w:numId w:val="1"/>
        </w:numPr>
        <w:spacing w:before="100" w:beforeAutospacing="1" w:after="100" w:afterAutospacing="1"/>
        <w:jc w:val="both"/>
        <w:rPr>
          <w:rFonts w:ascii="Garamond" w:hAnsi="Garamond"/>
          <w:lang w:val="en-GB"/>
        </w:rPr>
      </w:pPr>
      <w:r w:rsidRPr="00455C13">
        <w:rPr>
          <w:rFonts w:ascii="Garamond" w:hAnsi="Garamond"/>
          <w:lang w:val="en-GB"/>
        </w:rPr>
        <w:t>Harvesting: Mature spathes were removed early in the morning to reduce temperature stress and brought directly to a shaded processing location.</w:t>
      </w:r>
    </w:p>
    <w:p w14:paraId="6A81FF20" w14:textId="78F1F5DE" w:rsidR="00140F05" w:rsidRPr="00455C13" w:rsidRDefault="00455C13" w:rsidP="000151FE">
      <w:pPr>
        <w:numPr>
          <w:ilvl w:val="0"/>
          <w:numId w:val="1"/>
        </w:numPr>
        <w:spacing w:before="100" w:beforeAutospacing="1" w:after="100" w:afterAutospacing="1"/>
        <w:jc w:val="both"/>
        <w:rPr>
          <w:rFonts w:ascii="Garamond" w:hAnsi="Garamond"/>
          <w:lang w:val="en-GB"/>
        </w:rPr>
      </w:pPr>
      <w:r w:rsidRPr="00455C13">
        <w:rPr>
          <w:rFonts w:ascii="Garamond" w:hAnsi="Garamond"/>
          <w:lang w:val="en-GB"/>
        </w:rPr>
        <w:t>Dehiscence induction: Each spathe was opened around 1 mm to allow air in, and the cut base (3-4 cm) was immersed in water to keep it hydrated until full opening.</w:t>
      </w:r>
    </w:p>
    <w:p w14:paraId="1825653D" w14:textId="7101F758" w:rsidR="00140F05" w:rsidRPr="00455C13" w:rsidRDefault="00455C13" w:rsidP="000151FE">
      <w:pPr>
        <w:numPr>
          <w:ilvl w:val="0"/>
          <w:numId w:val="1"/>
        </w:numPr>
        <w:spacing w:before="100" w:beforeAutospacing="1" w:after="100" w:afterAutospacing="1"/>
        <w:jc w:val="both"/>
        <w:rPr>
          <w:rFonts w:ascii="Garamond" w:hAnsi="Garamond"/>
          <w:lang w:val="en-GB"/>
        </w:rPr>
      </w:pPr>
      <w:r w:rsidRPr="00455C13">
        <w:rPr>
          <w:rFonts w:ascii="Garamond" w:hAnsi="Garamond"/>
          <w:lang w:val="en-GB"/>
        </w:rPr>
        <w:t>Pollen extraction: Flowers were manually removed after 24-48 hours of drying at ambient temperature (20-25°C) with regular rotating (2-3× daily) to guarantee uniform moisture reduction.</w:t>
      </w:r>
    </w:p>
    <w:p w14:paraId="6DA99D3D" w14:textId="32DDFCAA" w:rsidR="00140F05" w:rsidRPr="00455C13" w:rsidRDefault="00455C13" w:rsidP="000151FE">
      <w:pPr>
        <w:numPr>
          <w:ilvl w:val="0"/>
          <w:numId w:val="1"/>
        </w:numPr>
        <w:spacing w:before="100" w:beforeAutospacing="1" w:after="100" w:afterAutospacing="1"/>
        <w:jc w:val="both"/>
        <w:rPr>
          <w:rFonts w:ascii="Garamond" w:hAnsi="Garamond"/>
          <w:lang w:val="en-GB"/>
        </w:rPr>
      </w:pPr>
      <w:r w:rsidRPr="00455C13">
        <w:rPr>
          <w:rFonts w:ascii="Garamond" w:hAnsi="Garamond"/>
          <w:lang w:val="en-GB"/>
        </w:rPr>
        <w:t xml:space="preserve">Purification: Pollen was sieved using an 80-100 </w:t>
      </w:r>
      <w:proofErr w:type="spellStart"/>
      <w:r w:rsidRPr="00455C13">
        <w:rPr>
          <w:rFonts w:ascii="Garamond" w:hAnsi="Garamond"/>
          <w:lang w:val="en-GB"/>
        </w:rPr>
        <w:t>μm</w:t>
      </w:r>
      <w:proofErr w:type="spellEnd"/>
      <w:r w:rsidRPr="00455C13">
        <w:rPr>
          <w:rFonts w:ascii="Garamond" w:hAnsi="Garamond"/>
          <w:lang w:val="en-GB"/>
        </w:rPr>
        <w:t xml:space="preserve"> fine mesh screen to remove flower debris and impurities.</w:t>
      </w:r>
    </w:p>
    <w:p w14:paraId="1F022353" w14:textId="580826DB" w:rsidR="00140F05" w:rsidRPr="005848C1" w:rsidRDefault="005848C1" w:rsidP="000151FE">
      <w:pPr>
        <w:numPr>
          <w:ilvl w:val="0"/>
          <w:numId w:val="1"/>
        </w:numPr>
        <w:spacing w:before="100" w:beforeAutospacing="1" w:after="100" w:afterAutospacing="1"/>
        <w:jc w:val="both"/>
        <w:rPr>
          <w:rFonts w:ascii="Garamond" w:hAnsi="Garamond"/>
          <w:lang w:val="en-GB"/>
        </w:rPr>
      </w:pPr>
      <w:r w:rsidRPr="005848C1">
        <w:rPr>
          <w:rFonts w:ascii="Garamond" w:hAnsi="Garamond"/>
          <w:lang w:val="en-GB"/>
        </w:rPr>
        <w:t>Storage: Purified pollen was dried to reduce moisture content before being stored in airtight containers at 4°C, away from light, until analysis. To avoid contamination, every handling involved the use of sterile devices and gloves.</w:t>
      </w:r>
    </w:p>
    <w:p w14:paraId="3011EBDD" w14:textId="64564F0E" w:rsidR="00140F05" w:rsidRPr="005768C8" w:rsidRDefault="005848C1" w:rsidP="000151FE">
      <w:pPr>
        <w:spacing w:before="100" w:beforeAutospacing="1" w:after="100" w:afterAutospacing="1"/>
        <w:jc w:val="both"/>
        <w:rPr>
          <w:rFonts w:ascii="Garamond" w:hAnsi="Garamond"/>
          <w:lang w:val="en-GB"/>
        </w:rPr>
      </w:pPr>
      <w:r>
        <w:rPr>
          <w:rFonts w:ascii="Garamond" w:hAnsi="Garamond"/>
          <w:lang w:val="en-GB"/>
        </w:rPr>
        <w:lastRenderedPageBreak/>
        <w:t>Phytochemical and biological activity analyses were undertaken in March-April 2025, with triplicate determinations and findings reported as mean ± SD.</w:t>
      </w:r>
    </w:p>
    <w:p w14:paraId="3A92466A"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3.3.2 Proximate Composition Analysis</w:t>
      </w:r>
    </w:p>
    <w:p w14:paraId="18A43524"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3.3.2.1 Moisture Content</w:t>
      </w:r>
    </w:p>
    <w:p w14:paraId="6E975761" w14:textId="4CA128EB" w:rsidR="00140F05" w:rsidRPr="005848C1" w:rsidRDefault="005848C1" w:rsidP="000151FE">
      <w:pPr>
        <w:spacing w:before="100" w:beforeAutospacing="1" w:after="100" w:afterAutospacing="1"/>
        <w:jc w:val="both"/>
        <w:rPr>
          <w:rFonts w:ascii="Garamond" w:hAnsi="Garamond"/>
          <w:lang w:val="en-GB"/>
        </w:rPr>
      </w:pPr>
      <w:r>
        <w:rPr>
          <w:rFonts w:ascii="Garamond" w:hAnsi="Garamond"/>
          <w:lang w:val="en-GB"/>
        </w:rPr>
        <w:t xml:space="preserve">Gravimetric analysis was used to estimate moisture </w:t>
      </w:r>
      <w:r w:rsidRPr="005848C1">
        <w:rPr>
          <w:rFonts w:ascii="Garamond" w:hAnsi="Garamond"/>
          <w:b/>
          <w:bCs/>
          <w:lang w:val="en-GB"/>
        </w:rPr>
        <w:t>(AOAC 2019)</w:t>
      </w:r>
      <w:r>
        <w:rPr>
          <w:rFonts w:ascii="Garamond" w:hAnsi="Garamond"/>
          <w:lang w:val="en-GB"/>
        </w:rPr>
        <w:t>. Briefly, 3 g of the sample was equally distributed in a pre-weighed Petri plate and dried in an oven at 105°C for 3 hours. The dish was transported to a desiccator to chill before being reweighed. Drying was repeated until a consistent weight was obtained. The moisture content was estimated as follows:</w:t>
      </w:r>
    </w:p>
    <w:p w14:paraId="0BDAD036" w14:textId="77777777" w:rsidR="000151FE" w:rsidRPr="000151FE" w:rsidRDefault="000151FE" w:rsidP="000151FE">
      <w:pPr>
        <w:spacing w:before="100" w:beforeAutospacing="1" w:after="100" w:afterAutospacing="1" w:line="240" w:lineRule="auto"/>
        <w:jc w:val="center"/>
        <w:rPr>
          <w:rFonts w:asciiTheme="majorBidi" w:eastAsiaTheme="minorEastAsia" w:hAnsiTheme="majorBidi" w:cstheme="majorBidi"/>
          <w:i/>
          <w:iCs/>
          <w:color w:val="000000" w:themeColor="text1"/>
        </w:rPr>
      </w:pPr>
      <m:oMathPara>
        <m:oMathParaPr>
          <m:jc m:val="center"/>
        </m:oMathParaPr>
        <m:oMath>
          <m:r>
            <w:rPr>
              <w:rFonts w:ascii="Cambria Math" w:hAnsi="Cambria Math" w:cstheme="majorBidi"/>
              <w:color w:val="000000" w:themeColor="text1"/>
            </w:rPr>
            <m:t xml:space="preserve">Moisture content </m:t>
          </m:r>
          <m:d>
            <m:dPr>
              <m:ctrlPr>
                <w:rPr>
                  <w:rFonts w:ascii="Cambria Math" w:hAnsi="Cambria Math" w:cstheme="majorBidi"/>
                  <w:i/>
                  <w:iCs/>
                  <w:color w:val="000000" w:themeColor="text1"/>
                </w:rPr>
              </m:ctrlPr>
            </m:dPr>
            <m:e>
              <m:r>
                <w:rPr>
                  <w:rFonts w:ascii="Cambria Math" w:hAnsi="Cambria Math" w:cstheme="majorBidi"/>
                  <w:color w:val="000000" w:themeColor="text1"/>
                </w:rPr>
                <m:t>%</m:t>
              </m:r>
            </m:e>
          </m:d>
          <m:r>
            <w:rPr>
              <w:rFonts w:ascii="Cambria Math" w:hAnsi="Cambria Math" w:cstheme="majorBidi"/>
              <w:color w:val="000000" w:themeColor="text1"/>
            </w:rPr>
            <m:t>=</m:t>
          </m:r>
          <m:d>
            <m:dPr>
              <m:ctrlPr>
                <w:rPr>
                  <w:rFonts w:ascii="Cambria Math" w:hAnsi="Cambria Math" w:cstheme="majorBidi"/>
                  <w:i/>
                  <w:iCs/>
                  <w:color w:val="000000" w:themeColor="text1"/>
                </w:rPr>
              </m:ctrlPr>
            </m:dPr>
            <m:e>
              <m:f>
                <m:fPr>
                  <m:ctrlPr>
                    <w:rPr>
                      <w:rFonts w:ascii="Cambria Math" w:hAnsi="Cambria Math" w:cstheme="majorBidi"/>
                      <w:i/>
                      <w:iCs/>
                      <w:color w:val="000000" w:themeColor="text1"/>
                    </w:rPr>
                  </m:ctrlPr>
                </m:fPr>
                <m:num>
                  <m:sSub>
                    <m:sSubPr>
                      <m:ctrlPr>
                        <w:rPr>
                          <w:rFonts w:ascii="Cambria Math" w:hAnsi="Cambria Math" w:cstheme="majorBidi"/>
                          <w:i/>
                          <w:iCs/>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b</m:t>
                      </m:r>
                    </m:sub>
                  </m:sSub>
                  <m:r>
                    <w:rPr>
                      <w:rFonts w:ascii="Cambria Math" w:hAnsi="Cambria Math" w:cstheme="majorBidi"/>
                      <w:color w:val="000000" w:themeColor="text1"/>
                    </w:rPr>
                    <m:t>-</m:t>
                  </m:r>
                  <m:sSub>
                    <m:sSubPr>
                      <m:ctrlPr>
                        <w:rPr>
                          <w:rFonts w:ascii="Cambria Math" w:hAnsi="Cambria Math" w:cstheme="majorBidi"/>
                          <w:i/>
                          <w:iCs/>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a</m:t>
                      </m:r>
                    </m:sub>
                  </m:sSub>
                </m:num>
                <m:den>
                  <m:sSub>
                    <m:sSubPr>
                      <m:ctrlPr>
                        <w:rPr>
                          <w:rFonts w:ascii="Cambria Math" w:hAnsi="Cambria Math" w:cstheme="majorBidi"/>
                          <w:i/>
                          <w:iCs/>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b</m:t>
                      </m:r>
                    </m:sub>
                  </m:sSub>
                </m:den>
              </m:f>
            </m:e>
          </m:d>
          <m:r>
            <w:rPr>
              <w:rFonts w:ascii="Cambria Math" w:hAnsi="Cambria Math" w:cstheme="majorBidi"/>
              <w:color w:val="000000" w:themeColor="text1"/>
            </w:rPr>
            <m:t xml:space="preserve">×100 </m:t>
          </m:r>
        </m:oMath>
      </m:oMathPara>
    </w:p>
    <w:p w14:paraId="00BFB49E" w14:textId="150CD961" w:rsidR="00140F05" w:rsidRPr="005768C8" w:rsidRDefault="000151FE" w:rsidP="000151FE">
      <w:pPr>
        <w:spacing w:before="100" w:beforeAutospacing="1" w:after="100" w:afterAutospacing="1"/>
        <w:jc w:val="both"/>
        <w:rPr>
          <w:rFonts w:ascii="Garamond" w:hAnsi="Garamond"/>
          <w:lang w:val="en-GB"/>
        </w:rPr>
      </w:pPr>
      <w:r w:rsidRPr="005768C8">
        <w:rPr>
          <w:rFonts w:ascii="Garamond" w:hAnsi="Garamond"/>
          <w:lang w:val="en-GB"/>
        </w:rPr>
        <w:t>W</w:t>
      </w:r>
      <w:r w:rsidR="00140F05" w:rsidRPr="005768C8">
        <w:rPr>
          <w:rFonts w:ascii="Garamond" w:hAnsi="Garamond"/>
          <w:lang w:val="en-GB"/>
        </w:rPr>
        <w:t>here</w:t>
      </w:r>
      <w:r>
        <w:rPr>
          <w:rFonts w:ascii="Garamond" w:hAnsi="Garamond"/>
          <w:lang w:val="en-GB"/>
        </w:rPr>
        <w:t xml:space="preserve">: </w:t>
      </w:r>
      <w:r w:rsidR="00140F05" w:rsidRPr="005768C8">
        <w:rPr>
          <w:rFonts w:ascii="Garamond" w:hAnsi="Garamond"/>
          <w:lang w:val="en-GB"/>
        </w:rPr>
        <w:t xml:space="preserve"> </w:t>
      </w:r>
      <w:proofErr w:type="spellStart"/>
      <w:r w:rsidR="00140F05" w:rsidRPr="005768C8">
        <w:rPr>
          <w:rFonts w:ascii="Garamond" w:hAnsi="Garamond"/>
          <w:i/>
          <w:iCs/>
          <w:lang w:val="en-GB"/>
        </w:rPr>
        <w:t>W</w:t>
      </w:r>
      <w:r w:rsidR="00140F05" w:rsidRPr="005B7153">
        <w:rPr>
          <w:rFonts w:ascii="Garamond" w:hAnsi="Garamond"/>
          <w:vertAlign w:val="subscript"/>
          <w:lang w:val="en-GB"/>
        </w:rPr>
        <w:t>before</w:t>
      </w:r>
      <w:proofErr w:type="spellEnd"/>
      <w:r w:rsidR="00140F05" w:rsidRPr="005768C8">
        <w:rPr>
          <w:rFonts w:ascii="Arial" w:hAnsi="Arial" w:cs="Arial"/>
          <w:lang w:val="en-GB"/>
        </w:rPr>
        <w:t>​</w:t>
      </w:r>
      <w:r w:rsidR="00140F05" w:rsidRPr="005768C8">
        <w:rPr>
          <w:rFonts w:ascii="Garamond" w:hAnsi="Garamond"/>
          <w:lang w:val="en-GB"/>
        </w:rPr>
        <w:t xml:space="preserve"> = initial sample weight and </w:t>
      </w:r>
      <w:r w:rsidR="00140F05" w:rsidRPr="005768C8">
        <w:rPr>
          <w:rFonts w:ascii="Garamond" w:hAnsi="Garamond"/>
          <w:i/>
          <w:iCs/>
          <w:lang w:val="en-GB"/>
        </w:rPr>
        <w:t>W</w:t>
      </w:r>
      <w:r w:rsidR="00140F05" w:rsidRPr="005B7153">
        <w:rPr>
          <w:rFonts w:ascii="Garamond" w:hAnsi="Garamond"/>
          <w:vertAlign w:val="subscript"/>
          <w:lang w:val="en-GB"/>
        </w:rPr>
        <w:t>after</w:t>
      </w:r>
      <w:r w:rsidR="00140F05" w:rsidRPr="005768C8">
        <w:rPr>
          <w:rFonts w:ascii="Arial" w:hAnsi="Arial" w:cs="Arial"/>
          <w:lang w:val="en-GB"/>
        </w:rPr>
        <w:t>​</w:t>
      </w:r>
      <w:r w:rsidR="00140F05" w:rsidRPr="005768C8">
        <w:rPr>
          <w:rFonts w:ascii="Garamond" w:hAnsi="Garamond"/>
          <w:lang w:val="en-GB"/>
        </w:rPr>
        <w:t xml:space="preserve"> = weight after drying.</w:t>
      </w:r>
    </w:p>
    <w:p w14:paraId="5580B55D"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3.3.2.2 Ash Content</w:t>
      </w:r>
    </w:p>
    <w:p w14:paraId="45BA91D2" w14:textId="7A28137D" w:rsidR="00140F05" w:rsidRPr="005848C1" w:rsidRDefault="005848C1" w:rsidP="000151FE">
      <w:pPr>
        <w:spacing w:before="100" w:beforeAutospacing="1" w:after="100" w:afterAutospacing="1"/>
        <w:jc w:val="both"/>
        <w:rPr>
          <w:rFonts w:ascii="Garamond" w:hAnsi="Garamond"/>
          <w:lang w:val="en-GB"/>
        </w:rPr>
      </w:pPr>
      <w:r>
        <w:rPr>
          <w:rFonts w:ascii="Garamond" w:hAnsi="Garamond"/>
          <w:lang w:val="en-GB"/>
        </w:rPr>
        <w:t xml:space="preserve">The ash content was evaluated using dry </w:t>
      </w:r>
      <w:proofErr w:type="spellStart"/>
      <w:r>
        <w:rPr>
          <w:rFonts w:ascii="Garamond" w:hAnsi="Garamond"/>
          <w:lang w:val="en-GB"/>
        </w:rPr>
        <w:t>ashing</w:t>
      </w:r>
      <w:proofErr w:type="spellEnd"/>
      <w:r>
        <w:rPr>
          <w:rFonts w:ascii="Garamond" w:hAnsi="Garamond"/>
          <w:lang w:val="en-GB"/>
        </w:rPr>
        <w:t xml:space="preserve"> </w:t>
      </w:r>
      <w:r w:rsidRPr="005848C1">
        <w:rPr>
          <w:rFonts w:ascii="Garamond" w:hAnsi="Garamond"/>
          <w:b/>
          <w:bCs/>
          <w:lang w:val="en-GB"/>
        </w:rPr>
        <w:t>(AOAC, 2019)</w:t>
      </w:r>
      <w:r>
        <w:rPr>
          <w:rFonts w:ascii="Garamond" w:hAnsi="Garamond"/>
          <w:lang w:val="en-GB"/>
        </w:rPr>
        <w:t xml:space="preserve">. Crucibles were pre-ignited at 550°C overnight to eliminate surface impurities, then cooled in a desiccator and tared. Approximately 5 g of sample was placed in the crucible and </w:t>
      </w:r>
      <w:proofErr w:type="spellStart"/>
      <w:r>
        <w:rPr>
          <w:rFonts w:ascii="Garamond" w:hAnsi="Garamond"/>
          <w:lang w:val="en-GB"/>
        </w:rPr>
        <w:t>ashed</w:t>
      </w:r>
      <w:proofErr w:type="spellEnd"/>
      <w:r>
        <w:rPr>
          <w:rFonts w:ascii="Garamond" w:hAnsi="Garamond"/>
          <w:lang w:val="en-GB"/>
        </w:rPr>
        <w:t xml:space="preserve"> in a muffle furnace at 550°C for 6 hours, resulting in </w:t>
      </w:r>
      <w:proofErr w:type="spellStart"/>
      <w:r>
        <w:rPr>
          <w:rFonts w:ascii="Garamond" w:hAnsi="Garamond"/>
          <w:lang w:val="en-GB"/>
        </w:rPr>
        <w:t>gray</w:t>
      </w:r>
      <w:proofErr w:type="spellEnd"/>
      <w:r>
        <w:rPr>
          <w:rFonts w:ascii="Garamond" w:hAnsi="Garamond"/>
          <w:lang w:val="en-GB"/>
        </w:rPr>
        <w:t>-white ash. After cooling in a desiccator, the crucibles were weighed again. The ash content was determined as follows:</w:t>
      </w:r>
    </w:p>
    <w:p w14:paraId="48F98E7A" w14:textId="77777777" w:rsidR="000151FE" w:rsidRPr="000151FE" w:rsidRDefault="000151FE" w:rsidP="000151FE">
      <w:pPr>
        <w:spacing w:before="100" w:beforeAutospacing="1" w:after="100" w:afterAutospacing="1" w:line="240" w:lineRule="auto"/>
        <w:jc w:val="center"/>
        <w:rPr>
          <w:rFonts w:asciiTheme="majorBidi" w:eastAsiaTheme="minorEastAsia" w:hAnsiTheme="majorBidi" w:cstheme="majorBidi"/>
          <w:i/>
          <w:iCs/>
          <w:color w:val="000000" w:themeColor="text1"/>
        </w:rPr>
      </w:pPr>
      <m:oMathPara>
        <m:oMathParaPr>
          <m:jc m:val="center"/>
        </m:oMathParaPr>
        <m:oMath>
          <m:r>
            <w:rPr>
              <w:rFonts w:ascii="Cambria Math" w:hAnsi="Cambria Math" w:cstheme="majorBidi"/>
              <w:color w:val="000000" w:themeColor="text1"/>
            </w:rPr>
            <m:t xml:space="preserve">Ash content </m:t>
          </m:r>
          <m:d>
            <m:dPr>
              <m:ctrlPr>
                <w:rPr>
                  <w:rFonts w:ascii="Cambria Math" w:hAnsi="Cambria Math" w:cstheme="majorBidi"/>
                  <w:i/>
                  <w:iCs/>
                  <w:color w:val="000000" w:themeColor="text1"/>
                </w:rPr>
              </m:ctrlPr>
            </m:dPr>
            <m:e>
              <m:r>
                <w:rPr>
                  <w:rFonts w:ascii="Cambria Math" w:hAnsi="Cambria Math" w:cstheme="majorBidi"/>
                  <w:color w:val="000000" w:themeColor="text1"/>
                </w:rPr>
                <m:t>%</m:t>
              </m:r>
            </m:e>
          </m:d>
          <m:r>
            <w:rPr>
              <w:rFonts w:ascii="Cambria Math" w:hAnsi="Cambria Math" w:cstheme="majorBidi"/>
              <w:color w:val="000000" w:themeColor="text1"/>
            </w:rPr>
            <m:t>=</m:t>
          </m:r>
          <m:d>
            <m:dPr>
              <m:ctrlPr>
                <w:rPr>
                  <w:rFonts w:ascii="Cambria Math" w:hAnsi="Cambria Math" w:cstheme="majorBidi"/>
                  <w:i/>
                  <w:iCs/>
                  <w:color w:val="000000" w:themeColor="text1"/>
                </w:rPr>
              </m:ctrlPr>
            </m:dPr>
            <m:e>
              <m:f>
                <m:fPr>
                  <m:ctrlPr>
                    <w:rPr>
                      <w:rFonts w:ascii="Cambria Math" w:hAnsi="Cambria Math" w:cstheme="majorBidi"/>
                      <w:i/>
                      <w:iCs/>
                      <w:color w:val="000000" w:themeColor="text1"/>
                    </w:rPr>
                  </m:ctrlPr>
                </m:fPr>
                <m:num>
                  <m:sSub>
                    <m:sSubPr>
                      <m:ctrlPr>
                        <w:rPr>
                          <w:rFonts w:ascii="Cambria Math" w:hAnsi="Cambria Math" w:cstheme="majorBidi"/>
                          <w:i/>
                          <w:iCs/>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a</m:t>
                      </m:r>
                    </m:sub>
                  </m:sSub>
                </m:num>
                <m:den>
                  <m:sSub>
                    <m:sSubPr>
                      <m:ctrlPr>
                        <w:rPr>
                          <w:rFonts w:ascii="Cambria Math" w:hAnsi="Cambria Math" w:cstheme="majorBidi"/>
                          <w:i/>
                          <w:iCs/>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b</m:t>
                      </m:r>
                    </m:sub>
                  </m:sSub>
                </m:den>
              </m:f>
            </m:e>
          </m:d>
          <m:r>
            <w:rPr>
              <w:rFonts w:ascii="Cambria Math" w:hAnsi="Cambria Math" w:cstheme="majorBidi"/>
              <w:color w:val="000000" w:themeColor="text1"/>
            </w:rPr>
            <m:t xml:space="preserve">×100 </m:t>
          </m:r>
        </m:oMath>
      </m:oMathPara>
    </w:p>
    <w:p w14:paraId="0985DBF2" w14:textId="2FDA502B" w:rsidR="000151FE" w:rsidRPr="000151FE" w:rsidRDefault="000151FE" w:rsidP="000151FE">
      <w:pPr>
        <w:spacing w:before="100" w:beforeAutospacing="1" w:after="100" w:afterAutospacing="1" w:line="240" w:lineRule="auto"/>
        <w:rPr>
          <w:rFonts w:ascii="Garamond" w:hAnsi="Garamond" w:cstheme="majorBidi"/>
          <w:color w:val="000000" w:themeColor="text1"/>
        </w:rPr>
      </w:pPr>
      <w:r w:rsidRPr="000151FE">
        <w:rPr>
          <w:rFonts w:ascii="Garamond" w:hAnsi="Garamond" w:cstheme="majorBidi"/>
          <w:color w:val="000000" w:themeColor="text1"/>
        </w:rPr>
        <w:t>Where: W</w:t>
      </w:r>
      <w:r w:rsidRPr="000151FE">
        <w:rPr>
          <w:rFonts w:ascii="Garamond" w:hAnsi="Garamond" w:cstheme="majorBidi"/>
          <w:color w:val="000000" w:themeColor="text1"/>
          <w:vertAlign w:val="subscript"/>
        </w:rPr>
        <w:t>b</w:t>
      </w:r>
      <w:r w:rsidRPr="000151FE">
        <w:rPr>
          <w:rFonts w:ascii="Garamond" w:hAnsi="Garamond" w:cstheme="majorBidi"/>
          <w:color w:val="000000" w:themeColor="text1"/>
        </w:rPr>
        <w:t xml:space="preserve"> = weight before burning and </w:t>
      </w:r>
      <w:proofErr w:type="spellStart"/>
      <w:r w:rsidRPr="000151FE">
        <w:rPr>
          <w:rFonts w:ascii="Garamond" w:hAnsi="Garamond" w:cstheme="majorBidi"/>
          <w:color w:val="000000" w:themeColor="text1"/>
        </w:rPr>
        <w:t>W</w:t>
      </w:r>
      <w:r w:rsidRPr="000151FE">
        <w:rPr>
          <w:rFonts w:ascii="Garamond" w:hAnsi="Garamond" w:cstheme="majorBidi"/>
          <w:color w:val="000000" w:themeColor="text1"/>
          <w:vertAlign w:val="subscript"/>
        </w:rPr>
        <w:t>a</w:t>
      </w:r>
      <w:proofErr w:type="spellEnd"/>
      <w:r w:rsidRPr="000151FE">
        <w:rPr>
          <w:rFonts w:ascii="Garamond" w:hAnsi="Garamond" w:cstheme="majorBidi"/>
          <w:color w:val="000000" w:themeColor="text1"/>
        </w:rPr>
        <w:t xml:space="preserve"> </w:t>
      </w:r>
      <w:r w:rsidRPr="000151FE">
        <w:rPr>
          <w:rFonts w:ascii="Arial" w:hAnsi="Arial" w:cs="Arial"/>
          <w:color w:val="000000" w:themeColor="text1"/>
        </w:rPr>
        <w:t>​</w:t>
      </w:r>
      <w:r w:rsidRPr="000151FE">
        <w:rPr>
          <w:rFonts w:ascii="Garamond" w:hAnsi="Garamond" w:cstheme="majorBidi"/>
          <w:color w:val="000000" w:themeColor="text1"/>
        </w:rPr>
        <w:t xml:space="preserve"> = weight after burning</w:t>
      </w:r>
    </w:p>
    <w:p w14:paraId="37230637"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3.3.2.3 Fat Content</w:t>
      </w:r>
    </w:p>
    <w:p w14:paraId="55B24D76" w14:textId="2B92BD31" w:rsidR="00140F05" w:rsidRDefault="005848C1" w:rsidP="000151FE">
      <w:pPr>
        <w:spacing w:before="100" w:beforeAutospacing="1" w:after="100" w:afterAutospacing="1"/>
        <w:jc w:val="both"/>
        <w:rPr>
          <w:rFonts w:ascii="Garamond" w:hAnsi="Garamond"/>
          <w:lang w:val="en-GB"/>
        </w:rPr>
      </w:pPr>
      <w:r>
        <w:rPr>
          <w:rFonts w:ascii="Garamond" w:hAnsi="Garamond"/>
          <w:lang w:val="en-GB"/>
        </w:rPr>
        <w:t>The fat was removed using Soxhlet extraction with petroleum ether (AOAC, 2019). Extraction thimbles containing 3 g of dried material were inserted in the Soxhlet apparatus with 200 mL of petroleum ether (boiling point 40-60°C) and refluxed for an hour. The solvent was recovered, and the extraction flask was dried at 105°C for an hour before cooling in a desiccator and weighing. Fat content was computed as follows:</w:t>
      </w:r>
    </w:p>
    <w:p w14:paraId="0E750F7F" w14:textId="77777777" w:rsidR="000151FE" w:rsidRPr="00BE4587" w:rsidRDefault="000151FE" w:rsidP="000151FE">
      <w:pPr>
        <w:spacing w:line="240" w:lineRule="auto"/>
        <w:jc w:val="center"/>
        <w:rPr>
          <w:rFonts w:asciiTheme="majorBidi" w:eastAsiaTheme="minorEastAsia" w:hAnsiTheme="majorBidi" w:cstheme="majorBidi"/>
          <w:i/>
          <w:iCs/>
          <w:color w:val="000000" w:themeColor="text1"/>
        </w:rPr>
      </w:pPr>
      <m:oMathPara>
        <m:oMathParaPr>
          <m:jc m:val="left"/>
        </m:oMathParaPr>
        <m:oMath>
          <m:r>
            <w:rPr>
              <w:rFonts w:ascii="Cambria Math" w:hAnsi="Cambria Math" w:cstheme="majorBidi"/>
              <w:color w:val="000000" w:themeColor="text1"/>
            </w:rPr>
            <m:t xml:space="preserve">Fat content </m:t>
          </m:r>
          <m:d>
            <m:dPr>
              <m:ctrlPr>
                <w:rPr>
                  <w:rFonts w:ascii="Cambria Math" w:hAnsi="Cambria Math" w:cstheme="majorBidi"/>
                  <w:i/>
                  <w:iCs/>
                  <w:color w:val="000000" w:themeColor="text1"/>
                </w:rPr>
              </m:ctrlPr>
            </m:dPr>
            <m:e>
              <m:r>
                <w:rPr>
                  <w:rFonts w:ascii="Cambria Math" w:hAnsi="Cambria Math" w:cstheme="majorBidi"/>
                  <w:color w:val="000000" w:themeColor="text1"/>
                </w:rPr>
                <m:t>%</m:t>
              </m:r>
            </m:e>
          </m:d>
          <m:r>
            <w:rPr>
              <w:rFonts w:ascii="Cambria Math" w:hAnsi="Cambria Math" w:cstheme="majorBidi"/>
              <w:color w:val="000000" w:themeColor="text1"/>
            </w:rPr>
            <m:t>=</m:t>
          </m:r>
          <m:d>
            <m:dPr>
              <m:ctrlPr>
                <w:rPr>
                  <w:rFonts w:ascii="Cambria Math" w:hAnsi="Cambria Math" w:cstheme="majorBidi"/>
                  <w:i/>
                  <w:iCs/>
                  <w:color w:val="000000" w:themeColor="text1"/>
                </w:rPr>
              </m:ctrlPr>
            </m:dPr>
            <m:e>
              <m:f>
                <m:fPr>
                  <m:ctrlPr>
                    <w:rPr>
                      <w:rFonts w:ascii="Cambria Math" w:hAnsi="Cambria Math" w:cstheme="majorBidi"/>
                      <w:i/>
                      <w:iCs/>
                      <w:color w:val="000000" w:themeColor="text1"/>
                    </w:rPr>
                  </m:ctrlPr>
                </m:fPr>
                <m:num>
                  <m:sSub>
                    <m:sSubPr>
                      <m:ctrlPr>
                        <w:rPr>
                          <w:rFonts w:ascii="Cambria Math" w:hAnsi="Cambria Math" w:cstheme="majorBidi"/>
                          <w:i/>
                          <w:iCs/>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empty</m:t>
                      </m:r>
                    </m:sub>
                  </m:sSub>
                  <m:r>
                    <w:rPr>
                      <w:rFonts w:ascii="Cambria Math" w:hAnsi="Cambria Math" w:cstheme="majorBidi"/>
                      <w:color w:val="000000" w:themeColor="text1"/>
                    </w:rPr>
                    <m:t>-</m:t>
                  </m:r>
                  <m:sSub>
                    <m:sSubPr>
                      <m:ctrlPr>
                        <w:rPr>
                          <w:rFonts w:ascii="Cambria Math" w:hAnsi="Cambria Math" w:cstheme="majorBidi"/>
                          <w:i/>
                          <w:iCs/>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final</m:t>
                      </m:r>
                    </m:sub>
                  </m:sSub>
                </m:num>
                <m:den>
                  <m:sSub>
                    <m:sSubPr>
                      <m:ctrlPr>
                        <w:rPr>
                          <w:rFonts w:ascii="Cambria Math" w:hAnsi="Cambria Math" w:cstheme="majorBidi"/>
                          <w:i/>
                          <w:iCs/>
                          <w:color w:val="000000" w:themeColor="text1"/>
                        </w:rPr>
                      </m:ctrlPr>
                    </m:sSubPr>
                    <m:e>
                      <m:r>
                        <w:rPr>
                          <w:rFonts w:ascii="Cambria Math" w:hAnsi="Cambria Math" w:cstheme="majorBidi"/>
                          <w:color w:val="000000" w:themeColor="text1"/>
                        </w:rPr>
                        <m:t>W</m:t>
                      </m:r>
                    </m:e>
                    <m:sub>
                      <m:r>
                        <w:rPr>
                          <w:rFonts w:ascii="Cambria Math" w:hAnsi="Cambria Math" w:cstheme="majorBidi"/>
                          <w:color w:val="000000" w:themeColor="text1"/>
                        </w:rPr>
                        <m:t>sample</m:t>
                      </m:r>
                    </m:sub>
                  </m:sSub>
                </m:den>
              </m:f>
            </m:e>
          </m:d>
          <m:r>
            <w:rPr>
              <w:rFonts w:ascii="Cambria Math" w:hAnsi="Cambria Math" w:cstheme="majorBidi"/>
              <w:color w:val="000000" w:themeColor="text1"/>
            </w:rPr>
            <m:t xml:space="preserve">×100 </m:t>
          </m:r>
        </m:oMath>
      </m:oMathPara>
    </w:p>
    <w:p w14:paraId="19449DAB" w14:textId="245FE114" w:rsidR="000151FE" w:rsidRPr="000151FE" w:rsidRDefault="000151FE" w:rsidP="000151FE">
      <w:pPr>
        <w:spacing w:after="0" w:line="240" w:lineRule="auto"/>
        <w:rPr>
          <w:rFonts w:ascii="Garamond" w:hAnsi="Garamond" w:cstheme="majorBidi"/>
          <w:color w:val="000000" w:themeColor="text1"/>
        </w:rPr>
      </w:pPr>
      <w:r w:rsidRPr="000151FE">
        <w:rPr>
          <w:rFonts w:ascii="Garamond" w:hAnsi="Garamond" w:cstheme="majorBidi"/>
          <w:color w:val="000000" w:themeColor="text1"/>
        </w:rPr>
        <w:t>Where:</w:t>
      </w:r>
      <w:r>
        <w:rPr>
          <w:rFonts w:ascii="Garamond" w:hAnsi="Garamond" w:cstheme="majorBidi"/>
          <w:color w:val="000000" w:themeColor="text1"/>
        </w:rPr>
        <w:t xml:space="preserve"> </w:t>
      </w:r>
      <w:proofErr w:type="spellStart"/>
      <w:r w:rsidRPr="000151FE">
        <w:rPr>
          <w:rFonts w:ascii="Garamond" w:hAnsi="Garamond" w:cstheme="majorBidi"/>
          <w:color w:val="000000" w:themeColor="text1"/>
        </w:rPr>
        <w:t>W</w:t>
      </w:r>
      <w:r w:rsidRPr="000151FE">
        <w:rPr>
          <w:rFonts w:ascii="Garamond" w:hAnsi="Garamond" w:cstheme="majorBidi"/>
          <w:color w:val="000000" w:themeColor="text1"/>
          <w:vertAlign w:val="subscript"/>
        </w:rPr>
        <w:t>empty</w:t>
      </w:r>
      <w:proofErr w:type="spellEnd"/>
      <w:r w:rsidRPr="000151FE">
        <w:rPr>
          <w:rFonts w:ascii="Arial" w:hAnsi="Arial" w:cs="Arial"/>
          <w:color w:val="000000" w:themeColor="text1"/>
        </w:rPr>
        <w:t>​</w:t>
      </w:r>
      <w:r w:rsidRPr="000151FE">
        <w:rPr>
          <w:rFonts w:ascii="Garamond" w:hAnsi="Garamond" w:cstheme="majorBidi"/>
          <w:color w:val="000000" w:themeColor="text1"/>
        </w:rPr>
        <w:t xml:space="preserve"> = Weight of empty flask (before extraction), </w:t>
      </w:r>
      <w:proofErr w:type="spellStart"/>
      <w:r w:rsidRPr="000151FE">
        <w:rPr>
          <w:rFonts w:ascii="Garamond" w:hAnsi="Garamond" w:cstheme="majorBidi"/>
          <w:color w:val="000000" w:themeColor="text1"/>
        </w:rPr>
        <w:t>W</w:t>
      </w:r>
      <w:r w:rsidRPr="000151FE">
        <w:rPr>
          <w:rFonts w:ascii="Garamond" w:hAnsi="Garamond" w:cstheme="majorBidi"/>
          <w:color w:val="000000" w:themeColor="text1"/>
          <w:vertAlign w:val="subscript"/>
        </w:rPr>
        <w:t>final</w:t>
      </w:r>
      <w:proofErr w:type="spellEnd"/>
      <w:r w:rsidRPr="000151FE">
        <w:rPr>
          <w:rFonts w:ascii="Arial" w:hAnsi="Arial" w:cs="Arial"/>
          <w:color w:val="000000" w:themeColor="text1"/>
        </w:rPr>
        <w:t>​</w:t>
      </w:r>
      <w:r w:rsidRPr="000151FE">
        <w:rPr>
          <w:rFonts w:ascii="Garamond" w:hAnsi="Garamond" w:cstheme="majorBidi"/>
          <w:color w:val="000000" w:themeColor="text1"/>
        </w:rPr>
        <w:t xml:space="preserve"> = Weight of flask + extracted fat (after drying) and </w:t>
      </w:r>
      <w:proofErr w:type="spellStart"/>
      <w:r w:rsidRPr="000151FE">
        <w:rPr>
          <w:rFonts w:ascii="Garamond" w:hAnsi="Garamond" w:cstheme="majorBidi"/>
          <w:color w:val="000000" w:themeColor="text1"/>
        </w:rPr>
        <w:t>W</w:t>
      </w:r>
      <w:r w:rsidRPr="000151FE">
        <w:rPr>
          <w:rFonts w:ascii="Garamond" w:hAnsi="Garamond" w:cstheme="majorBidi"/>
          <w:color w:val="000000" w:themeColor="text1"/>
          <w:vertAlign w:val="subscript"/>
        </w:rPr>
        <w:t>samp</w:t>
      </w:r>
      <w:r>
        <w:rPr>
          <w:rFonts w:ascii="Garamond" w:hAnsi="Garamond" w:cstheme="majorBidi"/>
          <w:color w:val="000000" w:themeColor="text1"/>
          <w:vertAlign w:val="subscript"/>
        </w:rPr>
        <w:t>le</w:t>
      </w:r>
      <w:proofErr w:type="spellEnd"/>
      <w:r w:rsidRPr="000151FE">
        <w:rPr>
          <w:rFonts w:ascii="Garamond" w:hAnsi="Garamond" w:cstheme="majorBidi"/>
          <w:color w:val="000000" w:themeColor="text1"/>
        </w:rPr>
        <w:t> = Weight of dried sample used (3g in your case)</w:t>
      </w:r>
    </w:p>
    <w:p w14:paraId="5E15999A"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3.3.2.4 Protein Content</w:t>
      </w:r>
    </w:p>
    <w:p w14:paraId="7DB29D61" w14:textId="2A3713D3" w:rsidR="00140F05" w:rsidRPr="005768C8" w:rsidRDefault="005848C1" w:rsidP="000151FE">
      <w:pPr>
        <w:spacing w:before="100" w:beforeAutospacing="1" w:after="100" w:afterAutospacing="1"/>
        <w:jc w:val="both"/>
        <w:rPr>
          <w:rFonts w:ascii="Garamond" w:hAnsi="Garamond"/>
          <w:lang w:val="en-GB"/>
        </w:rPr>
      </w:pPr>
      <w:r>
        <w:rPr>
          <w:rFonts w:ascii="Garamond" w:hAnsi="Garamond"/>
          <w:lang w:val="en-GB"/>
        </w:rPr>
        <w:t xml:space="preserve">Total nitrogen was determined using the Kjeldahl method (AOAC, 2019), and protein was estimated using the conversion factor 6.25. The sample (1 g) was digested with catalyst (10 g </w:t>
      </w:r>
      <w:proofErr w:type="spellStart"/>
      <w:r>
        <w:rPr>
          <w:rFonts w:ascii="Garamond" w:hAnsi="Garamond"/>
          <w:lang w:val="en-GB"/>
        </w:rPr>
        <w:t>Na</w:t>
      </w:r>
      <w:r>
        <w:rPr>
          <w:rFonts w:ascii="Cambria Math" w:hAnsi="Cambria Math" w:cs="Cambria Math"/>
          <w:lang w:val="en-GB"/>
        </w:rPr>
        <w:t>₂</w:t>
      </w:r>
      <w:r>
        <w:rPr>
          <w:rFonts w:ascii="Garamond" w:hAnsi="Garamond"/>
          <w:lang w:val="en-GB"/>
        </w:rPr>
        <w:t>SO</w:t>
      </w:r>
      <w:proofErr w:type="spellEnd"/>
      <w:r>
        <w:rPr>
          <w:rFonts w:ascii="Cambria Math" w:hAnsi="Cambria Math" w:cs="Cambria Math"/>
          <w:lang w:val="en-GB"/>
        </w:rPr>
        <w:t>₄</w:t>
      </w:r>
      <w:r>
        <w:rPr>
          <w:rFonts w:ascii="Garamond" w:hAnsi="Garamond"/>
          <w:lang w:val="en-GB"/>
        </w:rPr>
        <w:t xml:space="preserve"> + 1 g </w:t>
      </w:r>
      <w:proofErr w:type="spellStart"/>
      <w:r>
        <w:rPr>
          <w:rFonts w:ascii="Garamond" w:hAnsi="Garamond"/>
          <w:lang w:val="en-GB"/>
        </w:rPr>
        <w:t>CuSO</w:t>
      </w:r>
      <w:proofErr w:type="spellEnd"/>
      <w:r>
        <w:rPr>
          <w:rFonts w:ascii="Cambria Math" w:hAnsi="Cambria Math" w:cs="Cambria Math"/>
          <w:lang w:val="en-GB"/>
        </w:rPr>
        <w:t>₄</w:t>
      </w:r>
      <w:r>
        <w:rPr>
          <w:rFonts w:ascii="Garamond" w:hAnsi="Garamond"/>
          <w:lang w:val="en-GB"/>
        </w:rPr>
        <w:t>) and 12 mL concentrated H</w:t>
      </w:r>
      <w:r>
        <w:rPr>
          <w:rFonts w:ascii="Cambria Math" w:hAnsi="Cambria Math" w:cs="Cambria Math"/>
          <w:lang w:val="en-GB"/>
        </w:rPr>
        <w:t>₂</w:t>
      </w:r>
      <w:r>
        <w:rPr>
          <w:rFonts w:ascii="Garamond" w:hAnsi="Garamond"/>
          <w:lang w:val="en-GB"/>
        </w:rPr>
        <w:t>SO</w:t>
      </w:r>
      <w:r>
        <w:rPr>
          <w:rFonts w:ascii="Cambria Math" w:hAnsi="Cambria Math" w:cs="Cambria Math"/>
          <w:lang w:val="en-GB"/>
        </w:rPr>
        <w:t>₄</w:t>
      </w:r>
      <w:r>
        <w:rPr>
          <w:rFonts w:ascii="Garamond" w:hAnsi="Garamond"/>
          <w:lang w:val="en-GB"/>
        </w:rPr>
        <w:t xml:space="preserve"> at 420</w:t>
      </w:r>
      <w:r>
        <w:rPr>
          <w:rFonts w:ascii="Garamond" w:hAnsi="Garamond" w:cs="Garamond"/>
          <w:lang w:val="en-GB"/>
        </w:rPr>
        <w:t>°</w:t>
      </w:r>
      <w:r>
        <w:rPr>
          <w:rFonts w:ascii="Garamond" w:hAnsi="Garamond"/>
          <w:lang w:val="en-GB"/>
        </w:rPr>
        <w:t xml:space="preserve">C for 1 hour, resulting in clear </w:t>
      </w:r>
      <w:r>
        <w:rPr>
          <w:rFonts w:ascii="Garamond" w:hAnsi="Garamond"/>
          <w:lang w:val="en-GB"/>
        </w:rPr>
        <w:lastRenderedPageBreak/>
        <w:t>blue-green digestion. After cooling, 20 mL deionized water was added, followed by 25 mL of 40% NaOH for distillation. Ammonia was collected in boric acid using a mixed indicator (methyl red-bromocresol green) and titrated with 0.1N HCl to achieve a bright pink finish. The protein content was determined as follows:</w:t>
      </w:r>
    </w:p>
    <w:p w14:paraId="6CD55A19" w14:textId="77777777" w:rsidR="00E32FCE" w:rsidRPr="00AC6A62" w:rsidRDefault="00E32FCE" w:rsidP="00E32FCE">
      <w:pPr>
        <w:spacing w:line="240" w:lineRule="auto"/>
        <w:jc w:val="center"/>
        <w:rPr>
          <w:rFonts w:asciiTheme="majorBidi" w:eastAsiaTheme="minorEastAsia" w:hAnsiTheme="majorBidi" w:cstheme="majorBidi"/>
          <w:i/>
          <w:iCs/>
          <w:color w:val="000000" w:themeColor="text1"/>
        </w:rPr>
      </w:pPr>
      <m:oMathPara>
        <m:oMathParaPr>
          <m:jc m:val="center"/>
        </m:oMathParaPr>
        <m:oMath>
          <m:r>
            <w:rPr>
              <w:rFonts w:ascii="Cambria Math" w:hAnsi="Cambria Math" w:cstheme="majorBidi"/>
              <w:color w:val="000000" w:themeColor="text1"/>
            </w:rPr>
            <m:t>Protien content</m:t>
          </m:r>
          <m:d>
            <m:dPr>
              <m:ctrlPr>
                <w:rPr>
                  <w:rFonts w:ascii="Cambria Math" w:hAnsi="Cambria Math" w:cstheme="majorBidi"/>
                  <w:i/>
                  <w:iCs/>
                  <w:color w:val="000000" w:themeColor="text1"/>
                </w:rPr>
              </m:ctrlPr>
            </m:dPr>
            <m:e>
              <m:r>
                <w:rPr>
                  <w:rFonts w:ascii="Cambria Math" w:hAnsi="Cambria Math" w:cstheme="majorBidi"/>
                  <w:color w:val="000000" w:themeColor="text1"/>
                </w:rPr>
                <m:t>%</m:t>
              </m:r>
            </m:e>
          </m:d>
          <m:r>
            <w:rPr>
              <w:rFonts w:ascii="Cambria Math" w:hAnsi="Cambria Math" w:cstheme="majorBidi"/>
              <w:color w:val="000000" w:themeColor="text1"/>
            </w:rPr>
            <m:t>=</m:t>
          </m:r>
          <m:d>
            <m:dPr>
              <m:ctrlPr>
                <w:rPr>
                  <w:rFonts w:ascii="Cambria Math" w:hAnsi="Cambria Math" w:cstheme="majorBidi"/>
                  <w:i/>
                  <w:iCs/>
                  <w:color w:val="000000" w:themeColor="text1"/>
                </w:rPr>
              </m:ctrlPr>
            </m:dPr>
            <m:e>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sample</m:t>
                  </m:r>
                </m:sub>
              </m:sSub>
              <m:r>
                <w:rPr>
                  <w:rFonts w:ascii="Cambria Math" w:hAnsi="Cambria Math" w:cstheme="majorBidi"/>
                  <w:color w:val="000000" w:themeColor="text1"/>
                </w:rPr>
                <m:t>-</m:t>
              </m:r>
              <m:sSub>
                <m:sSubPr>
                  <m:ctrlPr>
                    <w:rPr>
                      <w:rFonts w:ascii="Cambria Math" w:hAnsi="Cambria Math" w:cstheme="majorBidi"/>
                      <w:i/>
                      <w:iCs/>
                      <w:color w:val="000000" w:themeColor="text1"/>
                    </w:rPr>
                  </m:ctrlPr>
                </m:sSubPr>
                <m:e>
                  <m:r>
                    <w:rPr>
                      <w:rFonts w:ascii="Cambria Math" w:hAnsi="Cambria Math" w:cstheme="majorBidi"/>
                      <w:color w:val="000000" w:themeColor="text1"/>
                    </w:rPr>
                    <m:t>V</m:t>
                  </m:r>
                </m:e>
                <m:sub>
                  <m:r>
                    <w:rPr>
                      <w:rFonts w:ascii="Cambria Math" w:hAnsi="Cambria Math" w:cstheme="majorBidi"/>
                      <w:color w:val="000000" w:themeColor="text1"/>
                    </w:rPr>
                    <m:t>blank</m:t>
                  </m:r>
                </m:sub>
              </m:sSub>
            </m:e>
          </m:d>
          <m:r>
            <w:rPr>
              <w:rFonts w:ascii="Cambria Math" w:hAnsi="Cambria Math" w:cstheme="majorBidi"/>
              <w:color w:val="000000" w:themeColor="text1"/>
            </w:rPr>
            <m:t xml:space="preserve">×1.4007 ×F </m:t>
          </m:r>
        </m:oMath>
      </m:oMathPara>
    </w:p>
    <w:p w14:paraId="01833E3F" w14:textId="47F01394" w:rsidR="00E32FCE" w:rsidRPr="00E32FCE" w:rsidRDefault="00E32FCE" w:rsidP="00E32FCE">
      <w:pPr>
        <w:spacing w:after="0" w:line="240" w:lineRule="auto"/>
        <w:jc w:val="both"/>
        <w:rPr>
          <w:rFonts w:ascii="Garamond" w:hAnsi="Garamond" w:cstheme="majorBidi"/>
          <w:color w:val="000000" w:themeColor="text1"/>
        </w:rPr>
      </w:pPr>
      <w:r w:rsidRPr="00E32FCE">
        <w:rPr>
          <w:rFonts w:ascii="Garamond" w:hAnsi="Garamond" w:cstheme="majorBidi"/>
          <w:color w:val="000000" w:themeColor="text1"/>
        </w:rPr>
        <w:t>Where</w:t>
      </w:r>
      <w:r>
        <w:rPr>
          <w:rFonts w:ascii="Garamond" w:hAnsi="Garamond" w:cstheme="majorBidi"/>
          <w:color w:val="000000" w:themeColor="text1"/>
        </w:rPr>
        <w:t xml:space="preserve">: </w:t>
      </w:r>
      <w:proofErr w:type="spellStart"/>
      <w:r w:rsidRPr="00E32FCE">
        <w:rPr>
          <w:rFonts w:ascii="Garamond" w:hAnsi="Garamond" w:cstheme="majorBidi"/>
          <w:color w:val="000000" w:themeColor="text1"/>
        </w:rPr>
        <w:t>V</w:t>
      </w:r>
      <w:r w:rsidRPr="00E32FCE">
        <w:rPr>
          <w:rFonts w:ascii="Garamond" w:hAnsi="Garamond" w:cstheme="majorBidi"/>
          <w:color w:val="000000" w:themeColor="text1"/>
          <w:vertAlign w:val="subscript"/>
        </w:rPr>
        <w:t>sample</w:t>
      </w:r>
      <w:proofErr w:type="spellEnd"/>
      <w:r w:rsidRPr="00E32FCE">
        <w:rPr>
          <w:rFonts w:ascii="Arial" w:hAnsi="Arial" w:cs="Arial"/>
          <w:color w:val="000000" w:themeColor="text1"/>
        </w:rPr>
        <w:t>​</w:t>
      </w:r>
      <w:r w:rsidRPr="00E32FCE">
        <w:rPr>
          <w:rFonts w:ascii="Garamond" w:hAnsi="Garamond" w:cstheme="majorBidi"/>
          <w:color w:val="000000" w:themeColor="text1"/>
        </w:rPr>
        <w:t xml:space="preserve"> = volume (ml) of HCl used to titrate the sample</w:t>
      </w:r>
      <w:r>
        <w:rPr>
          <w:rFonts w:ascii="Garamond" w:hAnsi="Garamond" w:cstheme="majorBidi"/>
          <w:color w:val="000000" w:themeColor="text1"/>
        </w:rPr>
        <w:t xml:space="preserve">, </w:t>
      </w:r>
      <w:proofErr w:type="spellStart"/>
      <w:r w:rsidRPr="00E32FCE">
        <w:rPr>
          <w:rFonts w:ascii="Garamond" w:hAnsi="Garamond" w:cstheme="majorBidi"/>
          <w:color w:val="000000" w:themeColor="text1"/>
        </w:rPr>
        <w:t>V</w:t>
      </w:r>
      <w:r w:rsidRPr="00E32FCE">
        <w:rPr>
          <w:rFonts w:ascii="Garamond" w:hAnsi="Garamond" w:cstheme="majorBidi"/>
          <w:color w:val="000000" w:themeColor="text1"/>
          <w:vertAlign w:val="subscript"/>
        </w:rPr>
        <w:t>blank</w:t>
      </w:r>
      <w:proofErr w:type="spellEnd"/>
      <w:r w:rsidRPr="00E32FCE">
        <w:rPr>
          <w:rFonts w:ascii="Arial" w:hAnsi="Arial" w:cs="Arial"/>
          <w:color w:val="000000" w:themeColor="text1"/>
        </w:rPr>
        <w:t>​</w:t>
      </w:r>
      <w:r w:rsidRPr="00E32FCE">
        <w:rPr>
          <w:rFonts w:ascii="Garamond" w:hAnsi="Garamond" w:cstheme="majorBidi"/>
          <w:color w:val="000000" w:themeColor="text1"/>
        </w:rPr>
        <w:t xml:space="preserve"> = volume (ml) of HCl used to titrate the blank</w:t>
      </w:r>
      <w:r>
        <w:rPr>
          <w:rFonts w:ascii="Garamond" w:hAnsi="Garamond" w:cstheme="majorBidi"/>
          <w:color w:val="000000" w:themeColor="text1"/>
        </w:rPr>
        <w:t xml:space="preserve">, </w:t>
      </w:r>
      <w:r w:rsidRPr="00E32FCE">
        <w:rPr>
          <w:rFonts w:ascii="Garamond" w:hAnsi="Garamond" w:cstheme="majorBidi"/>
          <w:color w:val="000000" w:themeColor="text1"/>
        </w:rPr>
        <w:t>1.4007 = Milliequivalent weight of nitrogen (14.007 g/mol ÷ 10)</w:t>
      </w:r>
      <w:r>
        <w:rPr>
          <w:rFonts w:ascii="Garamond" w:hAnsi="Garamond" w:cstheme="majorBidi"/>
          <w:color w:val="000000" w:themeColor="text1"/>
        </w:rPr>
        <w:t xml:space="preserve"> and </w:t>
      </w:r>
      <w:r w:rsidRPr="00E32FCE">
        <w:rPr>
          <w:rFonts w:ascii="Garamond" w:hAnsi="Garamond" w:cstheme="majorBidi"/>
          <w:color w:val="000000" w:themeColor="text1"/>
        </w:rPr>
        <w:t>F = protein conversion factor (usually 6.25 for general protein)</w:t>
      </w:r>
    </w:p>
    <w:p w14:paraId="0B57E962"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3.3.2.5 Carbohydrate Content</w:t>
      </w:r>
    </w:p>
    <w:p w14:paraId="46A105AE" w14:textId="6B882079" w:rsidR="00140F05" w:rsidRPr="005768C8" w:rsidRDefault="005848C1" w:rsidP="000151FE">
      <w:pPr>
        <w:spacing w:before="100" w:beforeAutospacing="1" w:after="100" w:afterAutospacing="1"/>
        <w:jc w:val="both"/>
        <w:rPr>
          <w:rFonts w:ascii="Garamond" w:hAnsi="Garamond"/>
          <w:lang w:val="en-GB"/>
        </w:rPr>
      </w:pPr>
      <w:r>
        <w:rPr>
          <w:rFonts w:ascii="Garamond" w:hAnsi="Garamond"/>
          <w:lang w:val="en-GB"/>
        </w:rPr>
        <w:t xml:space="preserve">The total carbs were measured using the phenol-sulfuric acid colorimetric technique. </w:t>
      </w:r>
      <w:r w:rsidR="005768C8" w:rsidRPr="005768C8">
        <w:rPr>
          <w:rFonts w:ascii="Garamond" w:hAnsi="Garamond"/>
          <w:b/>
          <w:bCs/>
          <w:lang w:val="en-GB"/>
        </w:rPr>
        <w:fldChar w:fldCharType="begin"/>
      </w:r>
      <w:r w:rsidR="005768C8" w:rsidRPr="005768C8">
        <w:rPr>
          <w:rFonts w:ascii="Garamond" w:hAnsi="Garamond"/>
          <w:b/>
          <w:bCs/>
          <w:lang w:val="en-GB"/>
        </w:rPr>
        <w:instrText xml:space="preserve"> ADDIN ZOTERO_ITEM CSL_CITATION {"citationID":"QIYixNUg","properties":{"unsorted":false,"formattedCitation":"(DuBois et al., 1956)","plainCitation":"(DuBois et al., 1956)","noteIndex":0},"citationItems":[{"id":654,"uris":["http://zotero.org/users/local/k5HYdJTW/items/PFRI4PLY"],"itemData":{"id":654,"type":"article-journal","container-title":"Analytical Chemistry","DOI":"10.1021/ac60111a017","ISSN":"0003-2700, 1520-6882","issue":"3","journalAbbreviation":"Anal. Chem.","language":"en","page":"350-356","source":"DOI.org (Crossref)","title":"Colorimetric Method for Determination of Sugars and Related Substances","volume":"28","author":[{"family":"DuBois","given":"Michel."},{"family":"Gilles","given":"K. A."},{"family":"Hamilton","given":"J. K."},{"family":"Rebers","given":"P. A."},{"family":"Smith","given":"Fred."}],"issued":{"date-parts":[["1956",3,1]]}}}],"schema":"https://github.com/citation-style-language/schema/raw/master/csl-citation.json"} </w:instrText>
      </w:r>
      <w:r w:rsidR="005768C8" w:rsidRPr="005768C8">
        <w:rPr>
          <w:rFonts w:ascii="Garamond" w:hAnsi="Garamond"/>
          <w:b/>
          <w:bCs/>
          <w:lang w:val="en-GB"/>
        </w:rPr>
        <w:fldChar w:fldCharType="separate"/>
      </w:r>
      <w:r w:rsidR="005768C8" w:rsidRPr="005768C8">
        <w:rPr>
          <w:rFonts w:ascii="Garamond" w:hAnsi="Garamond"/>
          <w:b/>
          <w:bCs/>
          <w:lang w:val="en-GB"/>
        </w:rPr>
        <w:t>(DuBois et al., 1956)</w:t>
      </w:r>
      <w:r w:rsidR="005768C8" w:rsidRPr="005768C8">
        <w:rPr>
          <w:rFonts w:ascii="Garamond" w:hAnsi="Garamond"/>
          <w:b/>
          <w:bCs/>
          <w:lang w:val="en-GB"/>
        </w:rPr>
        <w:fldChar w:fldCharType="end"/>
      </w:r>
      <w:r w:rsidR="005768C8" w:rsidRPr="005768C8">
        <w:rPr>
          <w:rFonts w:ascii="Garamond" w:hAnsi="Garamond"/>
          <w:b/>
          <w:bCs/>
          <w:lang w:val="en-GB"/>
        </w:rPr>
        <w:t>.</w:t>
      </w:r>
      <w:r w:rsidR="005768C8" w:rsidRPr="005768C8">
        <w:rPr>
          <w:rFonts w:ascii="Garamond" w:hAnsi="Garamond"/>
          <w:lang w:val="en-GB"/>
        </w:rPr>
        <w:t xml:space="preserve"> </w:t>
      </w:r>
      <w:r>
        <w:rPr>
          <w:rFonts w:ascii="Garamond" w:hAnsi="Garamond"/>
          <w:lang w:val="en-GB"/>
        </w:rPr>
        <w:t>The sample solution (1 mL) was mixed with 1 mL of 5% phenol solution, then quickly added 5 mL of concentrated H</w:t>
      </w:r>
      <w:r>
        <w:rPr>
          <w:rFonts w:ascii="Cambria Math" w:hAnsi="Cambria Math" w:cs="Cambria Math"/>
          <w:lang w:val="en-GB"/>
        </w:rPr>
        <w:t>₂</w:t>
      </w:r>
      <w:r>
        <w:rPr>
          <w:rFonts w:ascii="Garamond" w:hAnsi="Garamond"/>
          <w:lang w:val="en-GB"/>
        </w:rPr>
        <w:t>SO</w:t>
      </w:r>
      <w:r>
        <w:rPr>
          <w:rFonts w:ascii="Cambria Math" w:hAnsi="Cambria Math" w:cs="Cambria Math"/>
          <w:lang w:val="en-GB"/>
        </w:rPr>
        <w:t>₄</w:t>
      </w:r>
      <w:r>
        <w:rPr>
          <w:rFonts w:ascii="Garamond" w:hAnsi="Garamond"/>
          <w:lang w:val="en-GB"/>
        </w:rPr>
        <w:t xml:space="preserve">. The mixture was vortexed and incubated at room temperature for 15-30 minutes to allow </w:t>
      </w:r>
      <w:proofErr w:type="spellStart"/>
      <w:r>
        <w:rPr>
          <w:rFonts w:ascii="Garamond" w:hAnsi="Garamond"/>
          <w:lang w:val="en-GB"/>
        </w:rPr>
        <w:t>color</w:t>
      </w:r>
      <w:proofErr w:type="spellEnd"/>
      <w:r>
        <w:rPr>
          <w:rFonts w:ascii="Garamond" w:hAnsi="Garamond"/>
          <w:lang w:val="en-GB"/>
        </w:rPr>
        <w:t xml:space="preserve"> to develop. The absorbance was measured at 490 nm using a spectrophotometer. Quantification was performed using a glucose standard curve (0-100 </w:t>
      </w:r>
      <w:proofErr w:type="spellStart"/>
      <w:r>
        <w:rPr>
          <w:rFonts w:ascii="Garamond" w:hAnsi="Garamond" w:cs="Garamond"/>
          <w:lang w:val="en-GB"/>
        </w:rPr>
        <w:t>μ</w:t>
      </w:r>
      <w:r>
        <w:rPr>
          <w:rFonts w:ascii="Garamond" w:hAnsi="Garamond"/>
          <w:lang w:val="en-GB"/>
        </w:rPr>
        <w:t>g</w:t>
      </w:r>
      <w:proofErr w:type="spellEnd"/>
      <w:r>
        <w:rPr>
          <w:rFonts w:ascii="Garamond" w:hAnsi="Garamond"/>
          <w:lang w:val="en-GB"/>
        </w:rPr>
        <w:t>/mL). The carbohydrate content was determined as follows:</w:t>
      </w:r>
    </w:p>
    <w:p w14:paraId="2095FA5A" w14:textId="77777777" w:rsidR="00AC6A62" w:rsidRPr="00AC6A62" w:rsidRDefault="00AC6A62" w:rsidP="00AC6A62">
      <w:pPr>
        <w:jc w:val="center"/>
        <w:rPr>
          <w:rFonts w:ascii="Garamond" w:eastAsiaTheme="minorEastAsia" w:hAnsi="Garamond"/>
          <w:iCs/>
          <w:color w:val="000000" w:themeColor="text1"/>
        </w:rPr>
      </w:pPr>
      <m:oMathPara>
        <m:oMath>
          <m:r>
            <m:rPr>
              <m:sty m:val="p"/>
            </m:rPr>
            <w:rPr>
              <w:rFonts w:ascii="Cambria Math" w:hAnsi="Cambria Math"/>
              <w:color w:val="000000" w:themeColor="text1"/>
            </w:rPr>
            <m:t>Carbohyhrate content (%)</m:t>
          </m:r>
          <m:r>
            <w:rPr>
              <w:rFonts w:ascii="Cambria Math" w:hAnsi="Cambria Math"/>
              <w:color w:val="000000" w:themeColor="text1"/>
            </w:rPr>
            <m:t>=</m:t>
          </m:r>
          <m:d>
            <m:dPr>
              <m:ctrlPr>
                <w:rPr>
                  <w:rFonts w:ascii="Cambria Math" w:hAnsi="Cambria Math"/>
                  <w:i/>
                  <w:iCs/>
                  <w:color w:val="000000" w:themeColor="text1"/>
                </w:rPr>
              </m:ctrlPr>
            </m:dPr>
            <m:e>
              <m:f>
                <m:fPr>
                  <m:ctrlPr>
                    <w:rPr>
                      <w:rFonts w:ascii="Cambria Math" w:hAnsi="Cambria Math"/>
                      <w:i/>
                      <w:iCs/>
                      <w:color w:val="000000" w:themeColor="text1"/>
                    </w:rPr>
                  </m:ctrlPr>
                </m:fPr>
                <m:num>
                  <m:r>
                    <w:rPr>
                      <w:rFonts w:ascii="Cambria Math" w:hAnsi="Cambria Math"/>
                      <w:color w:val="000000" w:themeColor="text1"/>
                    </w:rPr>
                    <m:t>C ×V</m:t>
                  </m:r>
                </m:num>
                <m:den>
                  <m:r>
                    <w:rPr>
                      <w:rFonts w:ascii="Cambria Math" w:hAnsi="Cambria Math"/>
                      <w:color w:val="000000" w:themeColor="text1"/>
                    </w:rPr>
                    <m:t>W</m:t>
                  </m:r>
                </m:den>
              </m:f>
            </m:e>
          </m:d>
          <m:r>
            <w:rPr>
              <w:rFonts w:ascii="Cambria Math" w:hAnsi="Cambria Math"/>
              <w:color w:val="000000" w:themeColor="text1"/>
            </w:rPr>
            <m:t xml:space="preserve"> ×10</m:t>
          </m:r>
        </m:oMath>
      </m:oMathPara>
    </w:p>
    <w:p w14:paraId="6BBAA321" w14:textId="675F6156" w:rsidR="00AC6A62" w:rsidRPr="00B95768" w:rsidRDefault="00AC6A62" w:rsidP="00AC6A62">
      <w:pPr>
        <w:jc w:val="both"/>
        <w:rPr>
          <w:rFonts w:ascii="Garamond" w:hAnsi="Garamond"/>
          <w:color w:val="000000" w:themeColor="text1"/>
          <w:sz w:val="26"/>
          <w:szCs w:val="26"/>
        </w:rPr>
      </w:pPr>
      <w:r w:rsidRPr="00FE664C">
        <w:rPr>
          <w:rFonts w:ascii="Garamond" w:hAnsi="Garamond"/>
          <w:color w:val="000000" w:themeColor="text1"/>
          <w:sz w:val="26"/>
          <w:szCs w:val="26"/>
        </w:rPr>
        <w:t>Where</w:t>
      </w:r>
      <w:r>
        <w:rPr>
          <w:rFonts w:ascii="Garamond" w:hAnsi="Garamond"/>
          <w:color w:val="000000" w:themeColor="text1"/>
          <w:sz w:val="26"/>
          <w:szCs w:val="26"/>
        </w:rPr>
        <w:t xml:space="preserve">: </w:t>
      </w:r>
      <w:r w:rsidRPr="00B95768">
        <w:rPr>
          <w:rFonts w:ascii="Garamond" w:hAnsi="Garamond"/>
          <w:color w:val="000000" w:themeColor="text1"/>
          <w:sz w:val="26"/>
          <w:szCs w:val="26"/>
        </w:rPr>
        <w:t>C = Concentration of glucose obtained from the standard curve (mg/ml) based on sample absorbance at 490 nm</w:t>
      </w:r>
      <w:r>
        <w:rPr>
          <w:rFonts w:ascii="Garamond" w:hAnsi="Garamond"/>
          <w:color w:val="000000" w:themeColor="text1"/>
          <w:sz w:val="26"/>
          <w:szCs w:val="26"/>
        </w:rPr>
        <w:t xml:space="preserve">, </w:t>
      </w:r>
      <w:r w:rsidRPr="00B95768">
        <w:rPr>
          <w:rFonts w:ascii="Garamond" w:hAnsi="Garamond"/>
          <w:color w:val="000000" w:themeColor="text1"/>
          <w:sz w:val="26"/>
          <w:szCs w:val="26"/>
        </w:rPr>
        <w:t>V = Volume (ml) of sample extract used in the test (e.g., 1 ml)</w:t>
      </w:r>
      <w:r>
        <w:rPr>
          <w:rFonts w:ascii="Garamond" w:hAnsi="Garamond"/>
          <w:color w:val="000000" w:themeColor="text1"/>
          <w:sz w:val="26"/>
          <w:szCs w:val="26"/>
        </w:rPr>
        <w:t xml:space="preserve">, </w:t>
      </w:r>
      <w:r w:rsidRPr="00B95768">
        <w:rPr>
          <w:rFonts w:ascii="Garamond" w:hAnsi="Garamond"/>
          <w:color w:val="000000" w:themeColor="text1"/>
          <w:sz w:val="26"/>
          <w:szCs w:val="26"/>
        </w:rPr>
        <w:t>W = Weight (g) of the sample used for extraction</w:t>
      </w:r>
      <w:r>
        <w:rPr>
          <w:rFonts w:ascii="Garamond" w:hAnsi="Garamond"/>
          <w:color w:val="000000" w:themeColor="text1"/>
          <w:sz w:val="26"/>
          <w:szCs w:val="26"/>
        </w:rPr>
        <w:t xml:space="preserve"> and </w:t>
      </w:r>
      <w:r w:rsidRPr="00B95768">
        <w:rPr>
          <w:rFonts w:ascii="Garamond" w:hAnsi="Garamond"/>
          <w:color w:val="000000" w:themeColor="text1"/>
          <w:sz w:val="26"/>
          <w:szCs w:val="26"/>
        </w:rPr>
        <w:t>Division by 10 converts mg/g to percentage (%) (since 1% = 10 mg/g)</w:t>
      </w:r>
    </w:p>
    <w:p w14:paraId="3493FD81" w14:textId="11A8899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3.3.3 Mineral Content Analysis</w:t>
      </w:r>
    </w:p>
    <w:p w14:paraId="2C710738"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3.3.3.1 Calcium</w:t>
      </w:r>
    </w:p>
    <w:p w14:paraId="072EC285" w14:textId="2175E260" w:rsidR="00140F05" w:rsidRPr="005768C8" w:rsidRDefault="005848C1" w:rsidP="000151FE">
      <w:pPr>
        <w:spacing w:before="100" w:beforeAutospacing="1" w:after="100" w:afterAutospacing="1"/>
        <w:jc w:val="both"/>
        <w:rPr>
          <w:rFonts w:ascii="Garamond" w:hAnsi="Garamond"/>
          <w:lang w:val="en-GB"/>
        </w:rPr>
      </w:pPr>
      <w:r>
        <w:rPr>
          <w:rFonts w:ascii="Garamond" w:hAnsi="Garamond"/>
          <w:lang w:val="en-GB"/>
        </w:rPr>
        <w:t xml:space="preserve">Calcium was evaluated by </w:t>
      </w:r>
      <w:proofErr w:type="spellStart"/>
      <w:r>
        <w:rPr>
          <w:rFonts w:ascii="Garamond" w:hAnsi="Garamond"/>
          <w:lang w:val="en-GB"/>
        </w:rPr>
        <w:t>permanganometric</w:t>
      </w:r>
      <w:proofErr w:type="spellEnd"/>
      <w:r>
        <w:rPr>
          <w:rFonts w:ascii="Garamond" w:hAnsi="Garamond"/>
          <w:lang w:val="en-GB"/>
        </w:rPr>
        <w:t xml:space="preserve"> titration in accordance with NA 1655 / ISO 6058:1994. The sample (2 g) was dry-</w:t>
      </w:r>
      <w:proofErr w:type="spellStart"/>
      <w:r>
        <w:rPr>
          <w:rFonts w:ascii="Garamond" w:hAnsi="Garamond"/>
          <w:lang w:val="en-GB"/>
        </w:rPr>
        <w:t>ashed</w:t>
      </w:r>
      <w:proofErr w:type="spellEnd"/>
      <w:r>
        <w:rPr>
          <w:rFonts w:ascii="Garamond" w:hAnsi="Garamond"/>
          <w:lang w:val="en-GB"/>
        </w:rPr>
        <w:t xml:space="preserve"> at 550°C for 4-6 hours, then dissolved in concentrated HCl. Calcium oxalate was precipitated with ammonium oxalate, then dissolved in H</w:t>
      </w:r>
      <w:r>
        <w:rPr>
          <w:rFonts w:ascii="Cambria Math" w:hAnsi="Cambria Math" w:cs="Cambria Math"/>
          <w:lang w:val="en-GB"/>
        </w:rPr>
        <w:t>₂</w:t>
      </w:r>
      <w:r>
        <w:rPr>
          <w:rFonts w:ascii="Garamond" w:hAnsi="Garamond"/>
          <w:lang w:val="en-GB"/>
        </w:rPr>
        <w:t>SO</w:t>
      </w:r>
      <w:r>
        <w:rPr>
          <w:rFonts w:ascii="Cambria Math" w:hAnsi="Cambria Math" w:cs="Cambria Math"/>
          <w:lang w:val="en-GB"/>
        </w:rPr>
        <w:t>₄</w:t>
      </w:r>
      <w:r>
        <w:rPr>
          <w:rFonts w:ascii="Garamond" w:hAnsi="Garamond"/>
          <w:lang w:val="en-GB"/>
        </w:rPr>
        <w:t xml:space="preserve"> and titrated with standardized </w:t>
      </w:r>
      <w:proofErr w:type="spellStart"/>
      <w:r>
        <w:rPr>
          <w:rFonts w:ascii="Garamond" w:hAnsi="Garamond"/>
          <w:lang w:val="en-GB"/>
        </w:rPr>
        <w:t>KMnO</w:t>
      </w:r>
      <w:proofErr w:type="spellEnd"/>
      <w:r>
        <w:rPr>
          <w:rFonts w:ascii="Cambria Math" w:hAnsi="Cambria Math" w:cs="Cambria Math"/>
          <w:lang w:val="en-GB"/>
        </w:rPr>
        <w:t>₄</w:t>
      </w:r>
      <w:r>
        <w:rPr>
          <w:rFonts w:ascii="Garamond" w:hAnsi="Garamond"/>
          <w:lang w:val="en-GB"/>
        </w:rPr>
        <w:t xml:space="preserve"> to achieve a persistent pink finish. The calcium content was determined as </w:t>
      </w:r>
      <w:commentRangeStart w:id="0"/>
      <w:r>
        <w:rPr>
          <w:rFonts w:ascii="Garamond" w:hAnsi="Garamond"/>
          <w:lang w:val="en-GB"/>
        </w:rPr>
        <w:t>follows</w:t>
      </w:r>
      <w:commentRangeEnd w:id="0"/>
      <w:r>
        <w:rPr>
          <w:rStyle w:val="CommentReference"/>
        </w:rPr>
        <w:commentReference w:id="0"/>
      </w:r>
      <w:r>
        <w:rPr>
          <w:rFonts w:ascii="Garamond" w:hAnsi="Garamond"/>
          <w:lang w:val="en-GB"/>
        </w:rPr>
        <w:t>:</w:t>
      </w:r>
    </w:p>
    <w:p w14:paraId="12AE20FE" w14:textId="77777777" w:rsidR="00AC6A62" w:rsidRDefault="00AC6A62" w:rsidP="000151FE">
      <w:pPr>
        <w:spacing w:before="100" w:beforeAutospacing="1" w:after="100" w:afterAutospacing="1"/>
        <w:jc w:val="both"/>
        <w:rPr>
          <w:rFonts w:ascii="Garamond" w:hAnsi="Garamond"/>
          <w:lang w:val="en-GB"/>
        </w:rPr>
      </w:pPr>
    </w:p>
    <w:p w14:paraId="6778FF78" w14:textId="6241D5A6"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3.3.3.2 Magnesium</w:t>
      </w:r>
    </w:p>
    <w:p w14:paraId="27ED973B" w14:textId="065F029D" w:rsidR="00140F05" w:rsidRPr="005768C8" w:rsidRDefault="005848C1" w:rsidP="000151FE">
      <w:pPr>
        <w:spacing w:before="100" w:beforeAutospacing="1" w:after="100" w:afterAutospacing="1"/>
        <w:jc w:val="both"/>
        <w:rPr>
          <w:rFonts w:ascii="Garamond" w:hAnsi="Garamond"/>
          <w:lang w:val="en-GB"/>
        </w:rPr>
      </w:pPr>
      <w:r>
        <w:rPr>
          <w:rFonts w:ascii="Garamond" w:hAnsi="Garamond"/>
          <w:lang w:val="en-GB"/>
        </w:rPr>
        <w:t>Magnesium was determined using complexometric titration with EDTA according to NA 752 / ISO 6059:1989. The total hardness (Ca²</w:t>
      </w:r>
      <w:r>
        <w:rPr>
          <w:rFonts w:ascii="Cambria Math" w:hAnsi="Cambria Math" w:cs="Cambria Math"/>
          <w:lang w:val="en-GB"/>
        </w:rPr>
        <w:t>⁺</w:t>
      </w:r>
      <w:r>
        <w:rPr>
          <w:rFonts w:ascii="Garamond" w:hAnsi="Garamond"/>
          <w:lang w:val="en-GB"/>
        </w:rPr>
        <w:t xml:space="preserve"> + Mg</w:t>
      </w:r>
      <w:r>
        <w:rPr>
          <w:rFonts w:ascii="Garamond" w:hAnsi="Garamond" w:cs="Garamond"/>
          <w:lang w:val="en-GB"/>
        </w:rPr>
        <w:t>²</w:t>
      </w:r>
      <w:r>
        <w:rPr>
          <w:rFonts w:ascii="Cambria Math" w:hAnsi="Cambria Math" w:cs="Cambria Math"/>
          <w:lang w:val="en-GB"/>
        </w:rPr>
        <w:t>⁺</w:t>
      </w:r>
      <w:r>
        <w:rPr>
          <w:rFonts w:ascii="Garamond" w:hAnsi="Garamond"/>
          <w:lang w:val="en-GB"/>
        </w:rPr>
        <w:t>) was titrated with EDTA at pH 10 using Eriochrome Black T indicator. Calcium was measured independently at pH 12 using the murexide indicator. Magnesium was computed as a difference:</w:t>
      </w:r>
    </w:p>
    <w:p w14:paraId="60CF76D7" w14:textId="77777777"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lang w:val="en-GB"/>
        </w:rPr>
        <w:t>Magnesium (mg/100</w:t>
      </w:r>
      <w:proofErr w:type="gramStart"/>
      <w:r w:rsidRPr="005768C8">
        <w:rPr>
          <w:rFonts w:ascii="Garamond" w:hAnsi="Garamond"/>
          <w:lang w:val="en-GB"/>
        </w:rPr>
        <w:t>g)=</w:t>
      </w:r>
      <w:proofErr w:type="gramEnd"/>
      <w:r w:rsidRPr="005768C8">
        <w:rPr>
          <w:rFonts w:ascii="Garamond" w:hAnsi="Garamond"/>
          <w:lang w:val="en-GB"/>
        </w:rPr>
        <w:t>(</w:t>
      </w:r>
      <w:proofErr w:type="spellStart"/>
      <w:r w:rsidRPr="005768C8">
        <w:rPr>
          <w:rFonts w:ascii="Garamond" w:hAnsi="Garamond"/>
          <w:i/>
          <w:iCs/>
          <w:lang w:val="en-GB"/>
        </w:rPr>
        <w:t>V</w:t>
      </w:r>
      <w:r w:rsidRPr="005768C8">
        <w:rPr>
          <w:rFonts w:ascii="Garamond" w:hAnsi="Garamond"/>
          <w:lang w:val="en-GB"/>
        </w:rPr>
        <w:t>total</w:t>
      </w:r>
      <w:proofErr w:type="spellEnd"/>
      <w:r w:rsidRPr="005768C8">
        <w:rPr>
          <w:rFonts w:ascii="Arial" w:hAnsi="Arial" w:cs="Arial"/>
          <w:lang w:val="en-GB"/>
        </w:rPr>
        <w:t>​</w:t>
      </w:r>
      <w:r w:rsidRPr="005768C8">
        <w:rPr>
          <w:rFonts w:ascii="Garamond" w:hAnsi="Garamond"/>
          <w:lang w:val="en-GB"/>
        </w:rPr>
        <w:t>−</w:t>
      </w:r>
      <w:proofErr w:type="spellStart"/>
      <w:proofErr w:type="gramStart"/>
      <w:r w:rsidRPr="005768C8">
        <w:rPr>
          <w:rFonts w:ascii="Garamond" w:hAnsi="Garamond"/>
          <w:i/>
          <w:iCs/>
          <w:lang w:val="en-GB"/>
        </w:rPr>
        <w:t>V</w:t>
      </w:r>
      <w:r w:rsidRPr="005768C8">
        <w:rPr>
          <w:rFonts w:ascii="Garamond" w:hAnsi="Garamond"/>
          <w:lang w:val="en-GB"/>
        </w:rPr>
        <w:t>Ca</w:t>
      </w:r>
      <w:proofErr w:type="spellEnd"/>
      <w:r w:rsidRPr="005768C8">
        <w:rPr>
          <w:rFonts w:ascii="Arial" w:hAnsi="Arial" w:cs="Arial"/>
          <w:lang w:val="en-GB"/>
        </w:rPr>
        <w:t>​</w:t>
      </w:r>
      <w:r w:rsidRPr="005768C8">
        <w:rPr>
          <w:rFonts w:ascii="Garamond" w:hAnsi="Garamond"/>
          <w:lang w:val="en-GB"/>
        </w:rPr>
        <w:t>)×</w:t>
      </w:r>
      <w:proofErr w:type="gramEnd"/>
      <w:r w:rsidRPr="005768C8">
        <w:rPr>
          <w:rFonts w:ascii="Garamond" w:hAnsi="Garamond"/>
          <w:i/>
          <w:iCs/>
          <w:lang w:val="en-GB"/>
        </w:rPr>
        <w:t>N</w:t>
      </w:r>
      <w:r w:rsidRPr="005768C8">
        <w:rPr>
          <w:rFonts w:ascii="Garamond" w:hAnsi="Garamond"/>
          <w:lang w:val="en-GB"/>
        </w:rPr>
        <w:t>EDTA</w:t>
      </w:r>
      <w:r w:rsidRPr="005768C8">
        <w:rPr>
          <w:rFonts w:ascii="Arial" w:hAnsi="Arial" w:cs="Arial"/>
          <w:lang w:val="en-GB"/>
        </w:rPr>
        <w:t>​</w:t>
      </w:r>
      <w:r w:rsidRPr="005768C8">
        <w:rPr>
          <w:rFonts w:ascii="Garamond" w:hAnsi="Garamond"/>
          <w:lang w:val="en-GB"/>
        </w:rPr>
        <w:t>×24.305×</w:t>
      </w:r>
      <w:r w:rsidRPr="005768C8">
        <w:rPr>
          <w:rFonts w:ascii="Garamond" w:hAnsi="Garamond"/>
          <w:i/>
          <w:iCs/>
          <w:lang w:val="en-GB"/>
        </w:rPr>
        <w:t>W</w:t>
      </w:r>
      <w:r w:rsidRPr="005768C8">
        <w:rPr>
          <w:rFonts w:ascii="Garamond" w:hAnsi="Garamond"/>
          <w:lang w:val="en-GB"/>
        </w:rPr>
        <w:t>sample</w:t>
      </w:r>
      <w:r w:rsidRPr="005768C8">
        <w:rPr>
          <w:rFonts w:ascii="Arial" w:hAnsi="Arial" w:cs="Arial"/>
          <w:lang w:val="en-GB"/>
        </w:rPr>
        <w:t>​</w:t>
      </w:r>
      <w:r w:rsidRPr="005768C8">
        <w:rPr>
          <w:rFonts w:ascii="Garamond" w:hAnsi="Garamond"/>
          <w:lang w:val="en-GB"/>
        </w:rPr>
        <w:t>100</w:t>
      </w:r>
      <w:r w:rsidRPr="005768C8">
        <w:rPr>
          <w:rFonts w:ascii="Arial" w:hAnsi="Arial" w:cs="Arial"/>
          <w:lang w:val="en-GB"/>
        </w:rPr>
        <w:t>​</w:t>
      </w:r>
      <w:r w:rsidRPr="005768C8">
        <w:rPr>
          <w:rFonts w:ascii="Garamond" w:hAnsi="Garamond"/>
          <w:lang w:val="en-GB"/>
        </w:rPr>
        <w:t xml:space="preserve"> </w:t>
      </w:r>
    </w:p>
    <w:p w14:paraId="120F1018" w14:textId="77777777"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lang w:val="en-GB"/>
        </w:rPr>
        <w:lastRenderedPageBreak/>
        <w:t>where 24.305 = atomic weight of magnesium.</w:t>
      </w:r>
    </w:p>
    <w:p w14:paraId="66E9111A"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3.3.3.3 Potassium and Sodium</w:t>
      </w:r>
    </w:p>
    <w:p w14:paraId="16420EFB" w14:textId="1D51DAB8" w:rsidR="00140F05" w:rsidRPr="005768C8" w:rsidRDefault="005848C1" w:rsidP="000151FE">
      <w:pPr>
        <w:spacing w:before="100" w:beforeAutospacing="1" w:after="100" w:afterAutospacing="1"/>
        <w:jc w:val="both"/>
        <w:rPr>
          <w:rFonts w:ascii="Garamond" w:hAnsi="Garamond"/>
          <w:lang w:val="en-GB"/>
        </w:rPr>
      </w:pPr>
      <w:r>
        <w:rPr>
          <w:rFonts w:ascii="Garamond" w:hAnsi="Garamond"/>
          <w:lang w:val="en-GB"/>
        </w:rPr>
        <w:t>Following NA 1653, potassium and sodium concentrations were evaluated using flame photometry. A 1-2 g sample underwent wet digestion with an HNO</w:t>
      </w:r>
      <w:r>
        <w:rPr>
          <w:rFonts w:ascii="Cambria Math" w:hAnsi="Cambria Math" w:cs="Cambria Math"/>
          <w:lang w:val="en-GB"/>
        </w:rPr>
        <w:t>₃</w:t>
      </w:r>
      <w:r>
        <w:rPr>
          <w:rFonts w:ascii="Garamond" w:hAnsi="Garamond"/>
          <w:lang w:val="en-GB"/>
        </w:rPr>
        <w:t>/</w:t>
      </w:r>
      <w:proofErr w:type="spellStart"/>
      <w:r>
        <w:rPr>
          <w:rFonts w:ascii="Garamond" w:hAnsi="Garamond"/>
          <w:lang w:val="en-GB"/>
        </w:rPr>
        <w:t>HClO</w:t>
      </w:r>
      <w:proofErr w:type="spellEnd"/>
      <w:r>
        <w:rPr>
          <w:rFonts w:ascii="Cambria Math" w:hAnsi="Cambria Math" w:cs="Cambria Math"/>
          <w:lang w:val="en-GB"/>
        </w:rPr>
        <w:t>₄</w:t>
      </w:r>
      <w:r>
        <w:rPr>
          <w:rFonts w:ascii="Garamond" w:hAnsi="Garamond"/>
          <w:lang w:val="en-GB"/>
        </w:rPr>
        <w:t xml:space="preserve"> combination. The digest was diluted and inhaled into a flame photometer calibrated using standard solutions. The emission intensity was measured at 766.5 nm (K) and 589 nm (Na), and concentrations were determined using calibration curves.</w:t>
      </w:r>
    </w:p>
    <w:p w14:paraId="7F45624F"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3.3.4 Phytochemical Compound Quantification</w:t>
      </w:r>
    </w:p>
    <w:p w14:paraId="23D97A92"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3.3.4.1 Extract Preparation</w:t>
      </w:r>
    </w:p>
    <w:p w14:paraId="693FEEE8" w14:textId="77777777"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lang w:val="en-GB"/>
        </w:rPr>
        <w:t xml:space="preserve">DPP extract was prepared by </w:t>
      </w:r>
      <w:r w:rsidRPr="005768C8">
        <w:rPr>
          <w:rFonts w:ascii="Garamond" w:hAnsi="Garamond"/>
          <w:b/>
          <w:bCs/>
          <w:lang w:val="en-GB"/>
        </w:rPr>
        <w:t>maceration</w:t>
      </w:r>
      <w:r w:rsidRPr="005768C8">
        <w:rPr>
          <w:rFonts w:ascii="Garamond" w:hAnsi="Garamond"/>
          <w:lang w:val="en-GB"/>
        </w:rPr>
        <w:t xml:space="preserve">. Briefly, 5 g of finely ground DPP was macerated in 50 mL of </w:t>
      </w:r>
      <w:r w:rsidRPr="005768C8">
        <w:rPr>
          <w:rFonts w:ascii="Garamond" w:hAnsi="Garamond"/>
          <w:b/>
          <w:bCs/>
          <w:lang w:val="en-GB"/>
        </w:rPr>
        <w:t>50% ethanol</w:t>
      </w:r>
      <w:r w:rsidRPr="005768C8">
        <w:rPr>
          <w:rFonts w:ascii="Garamond" w:hAnsi="Garamond"/>
          <w:lang w:val="en-GB"/>
        </w:rPr>
        <w:t xml:space="preserve"> for </w:t>
      </w:r>
      <w:r w:rsidRPr="005768C8">
        <w:rPr>
          <w:rFonts w:ascii="Garamond" w:hAnsi="Garamond"/>
          <w:b/>
          <w:bCs/>
          <w:lang w:val="en-GB"/>
        </w:rPr>
        <w:t>24 hours at room temperature</w:t>
      </w:r>
      <w:r w:rsidRPr="005768C8">
        <w:rPr>
          <w:rFonts w:ascii="Garamond" w:hAnsi="Garamond"/>
          <w:lang w:val="en-GB"/>
        </w:rPr>
        <w:t xml:space="preserve"> with occasional agitation. The extract was filtered, and the filtrate was dried at </w:t>
      </w:r>
      <w:r w:rsidRPr="005768C8">
        <w:rPr>
          <w:rFonts w:ascii="Garamond" w:hAnsi="Garamond"/>
          <w:b/>
          <w:bCs/>
          <w:lang w:val="en-GB"/>
        </w:rPr>
        <w:t>≤45°C</w:t>
      </w:r>
      <w:r w:rsidRPr="005768C8">
        <w:rPr>
          <w:rFonts w:ascii="Garamond" w:hAnsi="Garamond"/>
          <w:lang w:val="en-GB"/>
        </w:rPr>
        <w:t xml:space="preserve"> in an oven, then stored at </w:t>
      </w:r>
      <w:r w:rsidRPr="005768C8">
        <w:rPr>
          <w:rFonts w:ascii="Garamond" w:hAnsi="Garamond"/>
          <w:b/>
          <w:bCs/>
          <w:lang w:val="en-GB"/>
        </w:rPr>
        <w:t>4°C</w:t>
      </w:r>
      <w:r w:rsidRPr="005768C8">
        <w:rPr>
          <w:rFonts w:ascii="Garamond" w:hAnsi="Garamond"/>
          <w:lang w:val="en-GB"/>
        </w:rPr>
        <w:t xml:space="preserve"> until analysis.</w:t>
      </w:r>
    </w:p>
    <w:p w14:paraId="54BD1924"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3.3.4.2 Total Phenolic Content</w:t>
      </w:r>
    </w:p>
    <w:p w14:paraId="757A5244" w14:textId="348B9DF1" w:rsidR="00140F05" w:rsidRPr="005768C8" w:rsidRDefault="005848C1" w:rsidP="000151FE">
      <w:pPr>
        <w:spacing w:before="100" w:beforeAutospacing="1" w:after="100" w:afterAutospacing="1"/>
        <w:jc w:val="both"/>
        <w:rPr>
          <w:rFonts w:ascii="Garamond" w:hAnsi="Garamond"/>
          <w:lang w:val="en-GB"/>
        </w:rPr>
      </w:pPr>
      <w:r>
        <w:rPr>
          <w:rFonts w:ascii="Garamond" w:hAnsi="Garamond"/>
          <w:lang w:val="en-GB"/>
        </w:rPr>
        <w:t>The total phenolic content was determined using the Folin-</w:t>
      </w:r>
      <w:proofErr w:type="spellStart"/>
      <w:r>
        <w:rPr>
          <w:rFonts w:ascii="Garamond" w:hAnsi="Garamond"/>
          <w:lang w:val="en-GB"/>
        </w:rPr>
        <w:t>Ciocalteu</w:t>
      </w:r>
      <w:proofErr w:type="spellEnd"/>
      <w:r>
        <w:rPr>
          <w:rFonts w:ascii="Garamond" w:hAnsi="Garamond"/>
          <w:lang w:val="en-GB"/>
        </w:rPr>
        <w:t xml:space="preserve"> technique (Slinkard &amp; Singleton, 1977). Extract (0.2 mL) was combined with 1 mL of 10% Folin-</w:t>
      </w:r>
      <w:proofErr w:type="spellStart"/>
      <w:r>
        <w:rPr>
          <w:rFonts w:ascii="Garamond" w:hAnsi="Garamond"/>
          <w:lang w:val="en-GB"/>
        </w:rPr>
        <w:t>Ciocalteu</w:t>
      </w:r>
      <w:proofErr w:type="spellEnd"/>
      <w:r>
        <w:rPr>
          <w:rFonts w:ascii="Garamond" w:hAnsi="Garamond"/>
          <w:lang w:val="en-GB"/>
        </w:rPr>
        <w:t xml:space="preserve"> reagent. After four minutes, 0.8 mL of saturated sodium carbonate solution (75 g/L) was added. The mixture was incubated at room temperature for 2 hours, and the absorbance was measured at 765 nm. A calibration curve was created using gallic acid (0-200 </w:t>
      </w:r>
      <w:proofErr w:type="spellStart"/>
      <w:r>
        <w:rPr>
          <w:rFonts w:ascii="Garamond" w:hAnsi="Garamond"/>
          <w:lang w:val="en-GB"/>
        </w:rPr>
        <w:t>μg</w:t>
      </w:r>
      <w:proofErr w:type="spellEnd"/>
      <w:r>
        <w:rPr>
          <w:rFonts w:ascii="Garamond" w:hAnsi="Garamond"/>
          <w:lang w:val="en-GB"/>
        </w:rPr>
        <w:t>/mL). The results were presented as mg gallic acid equivalents per gram of extract (mg GAE/g).</w:t>
      </w:r>
    </w:p>
    <w:p w14:paraId="70B2F2E3"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3.3.4.3 Total Flavonoid Content</w:t>
      </w:r>
    </w:p>
    <w:p w14:paraId="1C1CD5CB" w14:textId="439FF792" w:rsidR="00140F05" w:rsidRPr="005768C8" w:rsidRDefault="005848C1" w:rsidP="000151FE">
      <w:pPr>
        <w:spacing w:before="100" w:beforeAutospacing="1" w:after="100" w:afterAutospacing="1"/>
        <w:jc w:val="both"/>
        <w:rPr>
          <w:rFonts w:ascii="Garamond" w:hAnsi="Garamond"/>
          <w:lang w:val="en-GB"/>
        </w:rPr>
      </w:pPr>
      <w:r>
        <w:rPr>
          <w:rFonts w:ascii="Garamond" w:hAnsi="Garamond"/>
          <w:lang w:val="en-GB"/>
        </w:rPr>
        <w:t xml:space="preserve">The total flavonoid concentration was measured using the </w:t>
      </w:r>
      <w:proofErr w:type="spellStart"/>
      <w:r>
        <w:rPr>
          <w:rFonts w:ascii="Garamond" w:hAnsi="Garamond"/>
          <w:lang w:val="en-GB"/>
        </w:rPr>
        <w:t>aluminum</w:t>
      </w:r>
      <w:proofErr w:type="spellEnd"/>
      <w:r>
        <w:rPr>
          <w:rFonts w:ascii="Garamond" w:hAnsi="Garamond"/>
          <w:lang w:val="en-GB"/>
        </w:rPr>
        <w:t xml:space="preserve"> chloride colorimetric technique. </w:t>
      </w:r>
      <w:r w:rsidR="00C25FA7">
        <w:rPr>
          <w:rFonts w:ascii="Garamond" w:hAnsi="Garamond"/>
          <w:b/>
          <w:bCs/>
          <w:lang w:val="en-GB"/>
        </w:rPr>
        <w:fldChar w:fldCharType="begin"/>
      </w:r>
      <w:r w:rsidR="00C25FA7">
        <w:rPr>
          <w:rFonts w:ascii="Garamond" w:hAnsi="Garamond"/>
          <w:b/>
          <w:bCs/>
          <w:lang w:val="en-GB"/>
        </w:rPr>
        <w:instrText xml:space="preserve"> ADDIN ZOTERO_ITEM CSL_CITATION {"citationID":"NkTjgJWC","properties":{"unsorted":false,"formattedCitation":"(Ahn et al., 2007)","plainCitation":"(Ahn et al., 2007)","noteIndex":0},"citationItems":[{"id":656,"uris":["http://zotero.org/users/local/k5HYdJTW/items/BY6ME27X"],"itemData":{"id":656,"type":"article-journal","container-title":"Food Chemistry","DOI":"10.1016/j.foodchem.2006.03.045","ISSN":"03088146","issue":"4","journalAbbreviation":"Food Chemistry","language":"en","page":"1383-1392","source":"DOI.org (Crossref)","title":"Antioxidant activity and constituents of propolis collected in various areas of China","volume":"101","author":[{"family":"Ahn","given":"Mok-Ryeon"},{"family":"Kumazawa","given":"Shigenori"},{"family":"Usui","given":"Yumiko"},{"family":"Nakamura","given":"Jun"},{"family":"Matsuka","given":"Mitsuo"},{"family":"Zhu","given":"Fang"},{"family":"Nakayama","given":"Tsutomu"}],"issued":{"date-parts":[["2007"]]}}}],"schema":"https://github.com/citation-style-language/schema/raw/master/csl-citation.json"} </w:instrText>
      </w:r>
      <w:r w:rsidR="00C25FA7">
        <w:rPr>
          <w:rFonts w:ascii="Garamond" w:hAnsi="Garamond"/>
          <w:b/>
          <w:bCs/>
          <w:lang w:val="en-GB"/>
        </w:rPr>
        <w:fldChar w:fldCharType="separate"/>
      </w:r>
      <w:r w:rsidR="00C25FA7" w:rsidRPr="00C25FA7">
        <w:rPr>
          <w:rFonts w:ascii="Garamond" w:hAnsi="Garamond"/>
          <w:b/>
          <w:bCs/>
          <w:lang w:val="en-GB"/>
        </w:rPr>
        <w:t>(Ahn et al., 2007)</w:t>
      </w:r>
      <w:r w:rsidR="00C25FA7">
        <w:rPr>
          <w:rFonts w:ascii="Garamond" w:hAnsi="Garamond"/>
          <w:b/>
          <w:bCs/>
          <w:lang w:val="en-GB"/>
        </w:rPr>
        <w:fldChar w:fldCharType="end"/>
      </w:r>
      <w:r w:rsidR="00C25FA7">
        <w:rPr>
          <w:rFonts w:ascii="Garamond" w:hAnsi="Garamond"/>
          <w:lang w:val="en-GB"/>
        </w:rPr>
        <w:t xml:space="preserve">. </w:t>
      </w:r>
      <w:r w:rsidR="0033068D">
        <w:rPr>
          <w:rFonts w:ascii="Garamond" w:hAnsi="Garamond"/>
          <w:lang w:val="en-GB"/>
        </w:rPr>
        <w:t xml:space="preserve">Mix 1 mL of extract with 1 mL of 2% </w:t>
      </w:r>
      <w:proofErr w:type="spellStart"/>
      <w:r w:rsidR="0033068D">
        <w:rPr>
          <w:rFonts w:ascii="Garamond" w:hAnsi="Garamond"/>
          <w:lang w:val="en-GB"/>
        </w:rPr>
        <w:t>AlCl</w:t>
      </w:r>
      <w:proofErr w:type="spellEnd"/>
      <w:r w:rsidR="0033068D">
        <w:rPr>
          <w:rFonts w:ascii="Cambria Math" w:hAnsi="Cambria Math" w:cs="Cambria Math"/>
          <w:lang w:val="en-GB"/>
        </w:rPr>
        <w:t>₃</w:t>
      </w:r>
      <w:r w:rsidR="0033068D">
        <w:rPr>
          <w:rFonts w:ascii="Garamond" w:hAnsi="Garamond"/>
          <w:lang w:val="en-GB"/>
        </w:rPr>
        <w:t xml:space="preserve"> solution and incubate at room temperature for 30 minutes. The absorbance was measured at 430 nm against a reagent blank. A calibration curve was created using quercetin (0-100 </w:t>
      </w:r>
      <w:proofErr w:type="spellStart"/>
      <w:r w:rsidR="0033068D">
        <w:rPr>
          <w:rFonts w:ascii="Garamond" w:hAnsi="Garamond" w:cs="Garamond"/>
          <w:lang w:val="en-GB"/>
        </w:rPr>
        <w:t>μ</w:t>
      </w:r>
      <w:r w:rsidR="0033068D">
        <w:rPr>
          <w:rFonts w:ascii="Garamond" w:hAnsi="Garamond"/>
          <w:lang w:val="en-GB"/>
        </w:rPr>
        <w:t>g</w:t>
      </w:r>
      <w:proofErr w:type="spellEnd"/>
      <w:r w:rsidR="0033068D">
        <w:rPr>
          <w:rFonts w:ascii="Garamond" w:hAnsi="Garamond"/>
          <w:lang w:val="en-GB"/>
        </w:rPr>
        <w:t>/mL). The results were presented as mg quercetin equivalents per gram of extract (mg QE/g).</w:t>
      </w:r>
    </w:p>
    <w:p w14:paraId="194292CF"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3.3.5 Antioxidant Activity Assessment</w:t>
      </w:r>
    </w:p>
    <w:p w14:paraId="2A06BC4F" w14:textId="14D2306A" w:rsidR="00140F05" w:rsidRPr="005768C8" w:rsidRDefault="0033068D" w:rsidP="000151FE">
      <w:pPr>
        <w:spacing w:before="100" w:beforeAutospacing="1" w:after="100" w:afterAutospacing="1"/>
        <w:jc w:val="both"/>
        <w:rPr>
          <w:rFonts w:ascii="Garamond" w:hAnsi="Garamond"/>
          <w:lang w:val="en-GB"/>
        </w:rPr>
      </w:pPr>
      <w:r>
        <w:rPr>
          <w:rFonts w:ascii="Garamond" w:hAnsi="Garamond"/>
          <w:lang w:val="en-GB"/>
        </w:rPr>
        <w:t>Antioxidant activity was assessed using the DPPH (2,2-diphenyl-1-picrylhydrazyl) radical scavenging assay.</w:t>
      </w:r>
      <w:r w:rsidR="00327796">
        <w:rPr>
          <w:rFonts w:ascii="Garamond" w:hAnsi="Garamond"/>
          <w:b/>
          <w:bCs/>
          <w:lang w:val="en-GB"/>
        </w:rPr>
        <w:fldChar w:fldCharType="begin"/>
      </w:r>
      <w:r w:rsidR="00327796">
        <w:rPr>
          <w:rFonts w:ascii="Garamond" w:hAnsi="Garamond"/>
          <w:b/>
          <w:bCs/>
          <w:lang w:val="en-GB"/>
        </w:rPr>
        <w:instrText xml:space="preserve"> ADDIN ZOTERO_ITEM CSL_CITATION {"citationID":"3oFkAgKc","properties":{"unsorted":false,"formattedCitation":"(Mansouri et al., 2005)","plainCitation":"(Mansouri et al., 2005)","noteIndex":0},"citationItems":[{"id":657,"uris":["http://zotero.org/users/local/k5HYdJTW/items/WDYIWDI9"],"itemData":{"id":657,"type":"article-journal","container-title":"Food Chemistry","DOI":"10.1016/j.foodchem.2004.02.051","ISSN":"03088146","issue":"3","journalAbbreviation":"Food Chemistry","language":"en","license":"https://www.elsevier.com/tdm/userlicense/1.0/","page":"411-420","source":"DOI.org (Crossref)","title":"Phenolic profile and antioxidant activity of the Algerian ripe date palm fruit (Phoenix dactylifera)","volume":"89","author":[{"family":"Mansouri","given":"Abdelhak"},{"family":"Embarek","given":"Guendez"},{"family":"Kokkalou","given":"Eugene"},{"family":"Kefalas","given":"Panagiotis"}],"issued":{"date-parts":[["2005",2]]}}}],"schema":"https://github.com/citation-style-language/schema/raw/master/csl-citation.json"} </w:instrText>
      </w:r>
      <w:r w:rsidR="00327796">
        <w:rPr>
          <w:rFonts w:ascii="Garamond" w:hAnsi="Garamond"/>
          <w:b/>
          <w:bCs/>
          <w:lang w:val="en-GB"/>
        </w:rPr>
        <w:fldChar w:fldCharType="separate"/>
      </w:r>
      <w:r w:rsidR="00327796" w:rsidRPr="00327796">
        <w:rPr>
          <w:rFonts w:ascii="Garamond" w:hAnsi="Garamond"/>
          <w:b/>
          <w:bCs/>
          <w:lang w:val="en-GB"/>
        </w:rPr>
        <w:t>(Mansouri et al., 2005)</w:t>
      </w:r>
      <w:r w:rsidR="00327796">
        <w:rPr>
          <w:rFonts w:ascii="Garamond" w:hAnsi="Garamond"/>
          <w:b/>
          <w:bCs/>
          <w:lang w:val="en-GB"/>
        </w:rPr>
        <w:fldChar w:fldCharType="end"/>
      </w:r>
      <w:r w:rsidR="00327796">
        <w:rPr>
          <w:rFonts w:ascii="Garamond" w:hAnsi="Garamond"/>
          <w:lang w:val="en-GB"/>
        </w:rPr>
        <w:t xml:space="preserve">. </w:t>
      </w:r>
      <w:r w:rsidR="007234F2">
        <w:rPr>
          <w:rFonts w:ascii="Garamond" w:hAnsi="Garamond"/>
          <w:lang w:val="en-GB"/>
        </w:rPr>
        <w:t>The PPH solution (1 mL, 0.1 mM in methanol) was combined with 1 mL of extract or ascorbic acid (positive control). The mixture was vortexed and incubated in the dark at room temperature for 30 minutes. The absorbance was measured at 517 nm. Percentage inhibition was computed as follows:</w:t>
      </w:r>
    </w:p>
    <w:p w14:paraId="5F72E383" w14:textId="77777777"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lang w:val="en-GB"/>
        </w:rPr>
        <w:t>Inhibition (</w:t>
      </w:r>
      <w:proofErr w:type="gramStart"/>
      <w:r w:rsidRPr="005768C8">
        <w:rPr>
          <w:rFonts w:ascii="Garamond" w:hAnsi="Garamond"/>
          <w:lang w:val="en-GB"/>
        </w:rPr>
        <w:t>%)=</w:t>
      </w:r>
      <w:proofErr w:type="gramEnd"/>
      <w:r w:rsidRPr="005768C8">
        <w:rPr>
          <w:rFonts w:ascii="Garamond" w:hAnsi="Garamond"/>
          <w:lang w:val="en-GB"/>
        </w:rPr>
        <w:t>(</w:t>
      </w:r>
      <w:proofErr w:type="spellStart"/>
      <w:r w:rsidRPr="005768C8">
        <w:rPr>
          <w:rFonts w:ascii="Garamond" w:hAnsi="Garamond"/>
          <w:i/>
          <w:iCs/>
          <w:lang w:val="en-GB"/>
        </w:rPr>
        <w:t>A</w:t>
      </w:r>
      <w:r w:rsidRPr="005768C8">
        <w:rPr>
          <w:rFonts w:ascii="Garamond" w:hAnsi="Garamond"/>
          <w:lang w:val="en-GB"/>
        </w:rPr>
        <w:t>control</w:t>
      </w:r>
      <w:proofErr w:type="spellEnd"/>
      <w:r w:rsidRPr="005768C8">
        <w:rPr>
          <w:rFonts w:ascii="Arial" w:hAnsi="Arial" w:cs="Arial"/>
          <w:lang w:val="en-GB"/>
        </w:rPr>
        <w:t>​</w:t>
      </w:r>
      <w:proofErr w:type="spellStart"/>
      <w:r w:rsidRPr="005768C8">
        <w:rPr>
          <w:rFonts w:ascii="Garamond" w:hAnsi="Garamond"/>
          <w:i/>
          <w:iCs/>
          <w:lang w:val="en-GB"/>
        </w:rPr>
        <w:t>A</w:t>
      </w:r>
      <w:r w:rsidRPr="005768C8">
        <w:rPr>
          <w:rFonts w:ascii="Garamond" w:hAnsi="Garamond"/>
          <w:lang w:val="en-GB"/>
        </w:rPr>
        <w:t>control</w:t>
      </w:r>
      <w:proofErr w:type="spellEnd"/>
      <w:r w:rsidRPr="005768C8">
        <w:rPr>
          <w:rFonts w:ascii="Arial" w:hAnsi="Arial" w:cs="Arial"/>
          <w:lang w:val="en-GB"/>
        </w:rPr>
        <w:t>​</w:t>
      </w:r>
      <w:r w:rsidRPr="005768C8">
        <w:rPr>
          <w:rFonts w:ascii="Garamond" w:hAnsi="Garamond"/>
          <w:lang w:val="en-GB"/>
        </w:rPr>
        <w:t>−</w:t>
      </w:r>
      <w:proofErr w:type="spellStart"/>
      <w:proofErr w:type="gramStart"/>
      <w:r w:rsidRPr="005768C8">
        <w:rPr>
          <w:rFonts w:ascii="Garamond" w:hAnsi="Garamond"/>
          <w:i/>
          <w:iCs/>
          <w:lang w:val="en-GB"/>
        </w:rPr>
        <w:t>A</w:t>
      </w:r>
      <w:r w:rsidRPr="005768C8">
        <w:rPr>
          <w:rFonts w:ascii="Garamond" w:hAnsi="Garamond"/>
          <w:lang w:val="en-GB"/>
        </w:rPr>
        <w:t>sample</w:t>
      </w:r>
      <w:proofErr w:type="spellEnd"/>
      <w:r w:rsidRPr="005768C8">
        <w:rPr>
          <w:rFonts w:ascii="Arial" w:hAnsi="Arial" w:cs="Arial"/>
          <w:lang w:val="en-GB"/>
        </w:rPr>
        <w:t>​​</w:t>
      </w:r>
      <w:r w:rsidRPr="005768C8">
        <w:rPr>
          <w:rFonts w:ascii="Garamond" w:hAnsi="Garamond"/>
          <w:lang w:val="en-GB"/>
        </w:rPr>
        <w:t>)×</w:t>
      </w:r>
      <w:proofErr w:type="gramEnd"/>
      <w:r w:rsidRPr="005768C8">
        <w:rPr>
          <w:rFonts w:ascii="Garamond" w:hAnsi="Garamond"/>
          <w:lang w:val="en-GB"/>
        </w:rPr>
        <w:t xml:space="preserve">100 </w:t>
      </w:r>
    </w:p>
    <w:p w14:paraId="558EF700" w14:textId="77777777"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lang w:val="en-GB"/>
        </w:rPr>
        <w:lastRenderedPageBreak/>
        <w:t xml:space="preserve">where </w:t>
      </w:r>
      <w:proofErr w:type="spellStart"/>
      <w:r w:rsidRPr="005768C8">
        <w:rPr>
          <w:rFonts w:ascii="Garamond" w:hAnsi="Garamond"/>
          <w:i/>
          <w:iCs/>
          <w:lang w:val="en-GB"/>
        </w:rPr>
        <w:t>A</w:t>
      </w:r>
      <w:r w:rsidRPr="005768C8">
        <w:rPr>
          <w:rFonts w:ascii="Garamond" w:hAnsi="Garamond"/>
          <w:lang w:val="en-GB"/>
        </w:rPr>
        <w:t>control</w:t>
      </w:r>
      <w:proofErr w:type="spellEnd"/>
      <w:r w:rsidRPr="005768C8">
        <w:rPr>
          <w:rFonts w:ascii="Arial" w:hAnsi="Arial" w:cs="Arial"/>
          <w:lang w:val="en-GB"/>
        </w:rPr>
        <w:t>​</w:t>
      </w:r>
      <w:r w:rsidRPr="005768C8">
        <w:rPr>
          <w:rFonts w:ascii="Garamond" w:hAnsi="Garamond"/>
          <w:lang w:val="en-GB"/>
        </w:rPr>
        <w:t xml:space="preserve"> = absorbance of DPPH without sample and </w:t>
      </w:r>
      <w:proofErr w:type="spellStart"/>
      <w:r w:rsidRPr="005768C8">
        <w:rPr>
          <w:rFonts w:ascii="Garamond" w:hAnsi="Garamond"/>
          <w:i/>
          <w:iCs/>
          <w:lang w:val="en-GB"/>
        </w:rPr>
        <w:t>A</w:t>
      </w:r>
      <w:r w:rsidRPr="005768C8">
        <w:rPr>
          <w:rFonts w:ascii="Garamond" w:hAnsi="Garamond"/>
          <w:lang w:val="en-GB"/>
        </w:rPr>
        <w:t>sample</w:t>
      </w:r>
      <w:proofErr w:type="spellEnd"/>
      <w:r w:rsidRPr="005768C8">
        <w:rPr>
          <w:rFonts w:ascii="Arial" w:hAnsi="Arial" w:cs="Arial"/>
          <w:lang w:val="en-GB"/>
        </w:rPr>
        <w:t>​</w:t>
      </w:r>
      <w:r w:rsidRPr="005768C8">
        <w:rPr>
          <w:rFonts w:ascii="Garamond" w:hAnsi="Garamond"/>
          <w:lang w:val="en-GB"/>
        </w:rPr>
        <w:t xml:space="preserve"> = absorbance with extract. </w:t>
      </w:r>
      <w:r w:rsidRPr="005768C8">
        <w:rPr>
          <w:rFonts w:ascii="Garamond" w:hAnsi="Garamond"/>
          <w:b/>
          <w:bCs/>
          <w:lang w:val="en-GB"/>
        </w:rPr>
        <w:t>IC</w:t>
      </w:r>
      <w:r w:rsidRPr="005768C8">
        <w:rPr>
          <w:rFonts w:ascii="Cambria Math" w:hAnsi="Cambria Math" w:cs="Cambria Math"/>
          <w:b/>
          <w:bCs/>
          <w:lang w:val="en-GB"/>
        </w:rPr>
        <w:t>₅₀</w:t>
      </w:r>
      <w:r w:rsidRPr="005768C8">
        <w:rPr>
          <w:rFonts w:ascii="Garamond" w:hAnsi="Garamond"/>
          <w:b/>
          <w:bCs/>
          <w:lang w:val="en-GB"/>
        </w:rPr>
        <w:t xml:space="preserve"> values</w:t>
      </w:r>
      <w:r w:rsidRPr="005768C8">
        <w:rPr>
          <w:rFonts w:ascii="Garamond" w:hAnsi="Garamond"/>
          <w:lang w:val="en-GB"/>
        </w:rPr>
        <w:t xml:space="preserve"> (concentration inhibiting 50% of DPPH radicals) were determined by plotting percentage inhibition against extract concentration.</w:t>
      </w:r>
    </w:p>
    <w:p w14:paraId="68A68FBE"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 Experiment 3: Evaluation of DPP Conservative Effects on Post-Slaughter Ovine Epididymal Sperm</w:t>
      </w:r>
    </w:p>
    <w:p w14:paraId="58E55692"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3.4.1 Ethical Considerations and Animal Material</w:t>
      </w:r>
    </w:p>
    <w:p w14:paraId="7137041D" w14:textId="4D859881" w:rsidR="00140F05" w:rsidRPr="005768C8" w:rsidRDefault="00493CAB" w:rsidP="000151FE">
      <w:pPr>
        <w:spacing w:before="100" w:beforeAutospacing="1" w:after="100" w:afterAutospacing="1"/>
        <w:jc w:val="both"/>
        <w:rPr>
          <w:rFonts w:ascii="Garamond" w:hAnsi="Garamond"/>
          <w:lang w:val="en-GB"/>
        </w:rPr>
      </w:pPr>
      <w:r>
        <w:rPr>
          <w:rFonts w:ascii="Garamond" w:hAnsi="Garamond"/>
          <w:lang w:val="en-GB"/>
        </w:rPr>
        <w:t>All biological material was taken post-mortem from a licensed abattoir in El Oued, Algeria. No living animals were used. This strategy is consistent with the thesis' focus on post-slaughter genetic rescue while avoiding ethical considerations related with experimental animal sacrifice.</w:t>
      </w:r>
    </w:p>
    <w:p w14:paraId="66A5CE02" w14:textId="30F8AC42" w:rsidR="00140F05" w:rsidRPr="00493CAB" w:rsidRDefault="00493CAB" w:rsidP="000151FE">
      <w:pPr>
        <w:spacing w:before="100" w:beforeAutospacing="1" w:after="100" w:afterAutospacing="1"/>
        <w:jc w:val="both"/>
        <w:rPr>
          <w:rFonts w:ascii="Garamond" w:hAnsi="Garamond"/>
          <w:lang w:val="en-GB"/>
        </w:rPr>
      </w:pPr>
      <w:r w:rsidRPr="00493CAB">
        <w:rPr>
          <w:rFonts w:ascii="Garamond" w:hAnsi="Garamond"/>
          <w:lang w:val="en-GB"/>
        </w:rPr>
        <w:t>Testes were taken from five sexually mature rams (aged 18-24 months) slaughtered at the local abattoir. This sample size gives statistical power while adhering to practical limits such as postmortem tissue availability. Rams were chosen based on apparent health state (no evident pathology) and a body condition score adequate for their age.</w:t>
      </w:r>
    </w:p>
    <w:p w14:paraId="01DD1E23"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3.4.2 Sample Collection and Transport</w:t>
      </w:r>
    </w:p>
    <w:p w14:paraId="1AD9DE6A" w14:textId="058D79C3" w:rsidR="00140F05" w:rsidRPr="005768C8" w:rsidRDefault="00493CAB" w:rsidP="000151FE">
      <w:pPr>
        <w:spacing w:before="100" w:beforeAutospacing="1" w:after="100" w:afterAutospacing="1"/>
        <w:jc w:val="both"/>
        <w:rPr>
          <w:rFonts w:ascii="Garamond" w:hAnsi="Garamond"/>
          <w:lang w:val="en-GB"/>
        </w:rPr>
      </w:pPr>
      <w:r>
        <w:rPr>
          <w:rFonts w:ascii="Garamond" w:hAnsi="Garamond"/>
          <w:lang w:val="en-GB"/>
        </w:rPr>
        <w:t>Testes were removed immediately after slaughter and transported to the laboratory within 2 hours in isotonic saline (0.9% NaCl) on ice at 4°C. This transport strategy simulates field situations where quick cooling is critical for maintaining post-mortem sperm viability.</w:t>
      </w:r>
      <w:r w:rsidR="00543D3E" w:rsidRPr="00543D3E">
        <w:rPr>
          <w:rFonts w:ascii="Garamond" w:hAnsi="Garamond"/>
          <w:b/>
          <w:bCs/>
          <w:lang w:val="en-GB"/>
        </w:rPr>
        <w:fldChar w:fldCharType="begin"/>
      </w:r>
      <w:r w:rsidR="00543D3E" w:rsidRPr="00543D3E">
        <w:rPr>
          <w:rFonts w:ascii="Garamond" w:hAnsi="Garamond"/>
          <w:b/>
          <w:bCs/>
          <w:lang w:val="en-GB"/>
        </w:rPr>
        <w:instrText xml:space="preserve"> ADDIN ZOTERO_ITEM CSL_CITATION {"citationID":"18oSq5nX","properties":{"unsorted":false,"formattedCitation":"(Shayestehyekta et al., 2022; Silva et al., 2025)","plainCitation":"(Shayestehyekta et al., 2022; Silva et al., 2025)","noteIndex":0},"citationItems":[{"id":226,"uris":["http://zotero.org/users/local/k5HYdJTW/items/QUL9YVEC"],"itemData":{"id":226,"type":"article-journal","abstract":"Abstract\n            \n              The current study examines the protective effects of different melatonin concentrations on fresh ram epididymis spermatozoa after post</w:instrText>
      </w:r>
      <w:r w:rsidR="00543D3E" w:rsidRPr="00543D3E">
        <w:rPr>
          <w:rFonts w:ascii="Cambria Math" w:hAnsi="Cambria Math" w:cs="Cambria Math"/>
          <w:b/>
          <w:bCs/>
          <w:lang w:val="en-GB"/>
        </w:rPr>
        <w:instrText>‐</w:instrText>
      </w:r>
      <w:r w:rsidR="00543D3E" w:rsidRPr="00543D3E">
        <w:rPr>
          <w:rFonts w:ascii="Garamond" w:hAnsi="Garamond"/>
          <w:b/>
          <w:bCs/>
          <w:lang w:val="en-GB"/>
        </w:rPr>
        <w:instrText>mortem recovery under normal and oxidative stress conditions and during liquid preservation (4°C) at different times (24, 48 and 72</w:instrText>
      </w:r>
      <w:r w:rsidR="00543D3E" w:rsidRPr="00543D3E">
        <w:rPr>
          <w:rFonts w:ascii="Arial" w:hAnsi="Arial" w:cs="Arial"/>
          <w:b/>
          <w:bCs/>
          <w:lang w:val="en-GB"/>
        </w:rPr>
        <w:instrText> </w:instrText>
      </w:r>
      <w:r w:rsidR="00543D3E" w:rsidRPr="00543D3E">
        <w:rPr>
          <w:rFonts w:ascii="Garamond" w:hAnsi="Garamond"/>
          <w:b/>
          <w:bCs/>
          <w:lang w:val="en-GB"/>
        </w:rPr>
        <w:instrText>h). The testes were obtained from a local slaughterhouse during the breeding season. Spermatozoa were isolated from cauda epididymides. In experiment 1, the effects of adding different concentrations of melatonin (0, 15, 60 and 240</w:instrText>
      </w:r>
      <w:r w:rsidR="00543D3E" w:rsidRPr="00543D3E">
        <w:rPr>
          <w:rFonts w:ascii="Arial" w:hAnsi="Arial" w:cs="Arial"/>
          <w:b/>
          <w:bCs/>
          <w:lang w:val="en-GB"/>
        </w:rPr>
        <w:instrText> </w:instrText>
      </w:r>
      <w:r w:rsidR="00543D3E" w:rsidRPr="00543D3E">
        <w:rPr>
          <w:rFonts w:ascii="Garamond" w:hAnsi="Garamond"/>
          <w:b/>
          <w:bCs/>
          <w:lang w:val="en-GB"/>
        </w:rPr>
        <w:instrText>μg/ml) under normal and oxidative stress conditions were evaluated. Fifty μM of hydrogen peroxide was used to induce oxidative stress. Also, in experiment 2, the spermatozoa samples were chilled to 4°C and stored for 72</w:instrText>
      </w:r>
      <w:r w:rsidR="00543D3E" w:rsidRPr="00543D3E">
        <w:rPr>
          <w:rFonts w:ascii="Arial" w:hAnsi="Arial" w:cs="Arial"/>
          <w:b/>
          <w:bCs/>
          <w:lang w:val="en-GB"/>
        </w:rPr>
        <w:instrText> </w:instrText>
      </w:r>
      <w:r w:rsidR="00543D3E" w:rsidRPr="00543D3E">
        <w:rPr>
          <w:rFonts w:ascii="Garamond" w:hAnsi="Garamond"/>
          <w:b/>
          <w:bCs/>
          <w:lang w:val="en-GB"/>
        </w:rPr>
        <w:instrText>h. Sperm total motility, viability, membrane, DNA integrity and morphological abnormality were evaluated at 0, 24, 48 and 72</w:instrText>
      </w:r>
      <w:r w:rsidR="00543D3E" w:rsidRPr="00543D3E">
        <w:rPr>
          <w:rFonts w:ascii="Arial" w:hAnsi="Arial" w:cs="Arial"/>
          <w:b/>
          <w:bCs/>
          <w:lang w:val="en-GB"/>
        </w:rPr>
        <w:instrText> </w:instrText>
      </w:r>
      <w:r w:rsidR="00543D3E" w:rsidRPr="00543D3E">
        <w:rPr>
          <w:rFonts w:ascii="Garamond" w:hAnsi="Garamond"/>
          <w:b/>
          <w:bCs/>
          <w:lang w:val="en-GB"/>
        </w:rPr>
        <w:instrText>h after cooling storage. In experiment 1, melatonin treatment preserved viability increased TAC and SOD activities, and reduced MDA levels compared with control. Also, melatonin reduced the harmful effects of H\n              2\n              O\n              2\n              under induced oxidative stress. In experiment 2, melatonin at concentrations of 15 and 60</w:instrText>
      </w:r>
      <w:r w:rsidR="00543D3E" w:rsidRPr="00543D3E">
        <w:rPr>
          <w:rFonts w:ascii="Arial" w:hAnsi="Arial" w:cs="Arial"/>
          <w:b/>
          <w:bCs/>
          <w:lang w:val="en-GB"/>
        </w:rPr>
        <w:instrText> </w:instrText>
      </w:r>
      <w:r w:rsidR="00543D3E" w:rsidRPr="00543D3E">
        <w:rPr>
          <w:rFonts w:ascii="Garamond" w:hAnsi="Garamond"/>
          <w:b/>
          <w:bCs/>
          <w:lang w:val="en-GB"/>
        </w:rPr>
        <w:instrText>g/ml greatly increased sperm viability after 3</w:instrText>
      </w:r>
      <w:r w:rsidR="00543D3E" w:rsidRPr="00543D3E">
        <w:rPr>
          <w:rFonts w:ascii="Arial" w:hAnsi="Arial" w:cs="Arial"/>
          <w:b/>
          <w:bCs/>
          <w:lang w:val="en-GB"/>
        </w:rPr>
        <w:instrText> </w:instrText>
      </w:r>
      <w:r w:rsidR="00543D3E" w:rsidRPr="00543D3E">
        <w:rPr>
          <w:rFonts w:ascii="Garamond" w:hAnsi="Garamond"/>
          <w:b/>
          <w:bCs/>
          <w:lang w:val="en-GB"/>
        </w:rPr>
        <w:instrText>days of cold storage. Furthermore, it could have a significant protective effect on the motility of cooled sperm. Melatonin supplementation preserved higher sperm membrane integrity at concentrations of 15 and 60</w:instrText>
      </w:r>
      <w:r w:rsidR="00543D3E" w:rsidRPr="00543D3E">
        <w:rPr>
          <w:rFonts w:ascii="Arial" w:hAnsi="Arial" w:cs="Arial"/>
          <w:b/>
          <w:bCs/>
          <w:lang w:val="en-GB"/>
        </w:rPr>
        <w:instrText> </w:instrText>
      </w:r>
      <w:r w:rsidR="00543D3E" w:rsidRPr="00543D3E">
        <w:rPr>
          <w:rFonts w:ascii="Garamond" w:hAnsi="Garamond"/>
          <w:b/>
          <w:bCs/>
          <w:lang w:val="en-GB"/>
        </w:rPr>
        <w:instrText>μg/ml, DNA integrity at a concentration of 15</w:instrText>
      </w:r>
      <w:r w:rsidR="00543D3E" w:rsidRPr="00543D3E">
        <w:rPr>
          <w:rFonts w:ascii="Arial" w:hAnsi="Arial" w:cs="Arial"/>
          <w:b/>
          <w:bCs/>
          <w:lang w:val="en-GB"/>
        </w:rPr>
        <w:instrText> </w:instrText>
      </w:r>
      <w:r w:rsidR="00543D3E" w:rsidRPr="00543D3E">
        <w:rPr>
          <w:rFonts w:ascii="Garamond" w:hAnsi="Garamond"/>
          <w:b/>
          <w:bCs/>
          <w:lang w:val="en-GB"/>
        </w:rPr>
        <w:instrText>μg/ml and abnormality at a concentration of 60</w:instrText>
      </w:r>
      <w:r w:rsidR="00543D3E" w:rsidRPr="00543D3E">
        <w:rPr>
          <w:rFonts w:ascii="Arial" w:hAnsi="Arial" w:cs="Arial"/>
          <w:b/>
          <w:bCs/>
          <w:lang w:val="en-GB"/>
        </w:rPr>
        <w:instrText> </w:instrText>
      </w:r>
      <w:r w:rsidR="00543D3E" w:rsidRPr="00543D3E">
        <w:rPr>
          <w:rFonts w:ascii="Garamond" w:hAnsi="Garamond"/>
          <w:b/>
          <w:bCs/>
          <w:lang w:val="en-GB"/>
        </w:rPr>
        <w:instrText>μg/ml after 3</w:instrText>
      </w:r>
      <w:r w:rsidR="00543D3E" w:rsidRPr="00543D3E">
        <w:rPr>
          <w:rFonts w:ascii="Arial" w:hAnsi="Arial" w:cs="Arial"/>
          <w:b/>
          <w:bCs/>
          <w:lang w:val="en-GB"/>
        </w:rPr>
        <w:instrText> </w:instrText>
      </w:r>
      <w:r w:rsidR="00543D3E" w:rsidRPr="00543D3E">
        <w:rPr>
          <w:rFonts w:ascii="Garamond" w:hAnsi="Garamond"/>
          <w:b/>
          <w:bCs/>
          <w:lang w:val="en-GB"/>
        </w:rPr>
        <w:instrText>days of storage. The results suggest that melatonin can be used to reduce the adverse effects of induced oxidative stress in spermatozoa. Furthermore, ram epididymal spermatozoa could be stored at 4°C for 72</w:instrText>
      </w:r>
      <w:r w:rsidR="00543D3E" w:rsidRPr="00543D3E">
        <w:rPr>
          <w:rFonts w:ascii="Arial" w:hAnsi="Arial" w:cs="Arial"/>
          <w:b/>
          <w:bCs/>
          <w:lang w:val="en-GB"/>
        </w:rPr>
        <w:instrText> </w:instrText>
      </w:r>
      <w:r w:rsidR="00543D3E" w:rsidRPr="00543D3E">
        <w:rPr>
          <w:rFonts w:ascii="Garamond" w:hAnsi="Garamond"/>
          <w:b/>
          <w:bCs/>
          <w:lang w:val="en-GB"/>
        </w:rPr>
        <w:instrText>h when treated with melatonin.","container-title":"Reproduction in Domestic Animals","DOI":"10.1111/rda.14228","ISSN":"0936-6768, 1439-0531","issue":"12","journalAbbreviation":"Reprod Domestic Animals","language":"en","page":"1520-1528","source":"DOI.org (Crossref)","title":"Effect of different concentrations of melatonin on ram epididymal spermatozoa recovered post</w:instrText>
      </w:r>
      <w:r w:rsidR="00543D3E" w:rsidRPr="00543D3E">
        <w:rPr>
          <w:rFonts w:ascii="Cambria Math" w:hAnsi="Cambria Math" w:cs="Cambria Math"/>
          <w:b/>
          <w:bCs/>
          <w:lang w:val="en-GB"/>
        </w:rPr>
        <w:instrText>‐</w:instrText>
      </w:r>
      <w:r w:rsidR="00543D3E" w:rsidRPr="00543D3E">
        <w:rPr>
          <w:rFonts w:ascii="Garamond" w:hAnsi="Garamond"/>
          <w:b/>
          <w:bCs/>
          <w:lang w:val="en-GB"/>
        </w:rPr>
        <w:instrText xml:space="preserve">mortem under oxidative stress conditions and storage at 4°C","volume":"57","author":[{"family":"Shayestehyekta","given":"Mohsen"},{"family":"Mohammadi","given":"Tayebeh"},{"family":"Soltani","given":"Leila"},{"family":"PooyanMehr","given":"Mehrdad"}],"issued":{"date-parts":[["2022",12]]}}},{"id":642,"uris":["http://zotero.org/users/local/k5HYdJTW/items/W4G8XSCP"],"itemData":{"id":642,"type":"article-journal","container-title":"Journal of Dairy Science","DOI":"10.3168/jds.2025-27057","ISSN":"00220302","issue":"11","journalAbbreviation":"Journal of Dairy Science","language":"en","page":"12722-12733","source":"DOI.org (Crossref)","title":"Predicting sire fertility in artificial insemination of dairy cows by the ability of spermatozoa to bind to oviduct cell aggregates","volume":"108","author":[{"family":"Silva","given":"Mateus A."},{"family":"Cortat","given":"Paula R."},{"family":"Consentini","given":"Carlos E.C."},{"family":"Pinto","given":"Sâmara C.C."},{"family":"Celeghini","given":"Eneiva C.C."},{"family":"Carvalho","given":"José O."},{"family":"Melo","given":"Leonardo F."},{"family":"Wiltbank","given":"Milo"},{"family":"Sartori","given":"Roberto"}],"issued":{"date-parts":[["2025",11]]}}}],"schema":"https://github.com/citation-style-language/schema/raw/master/csl-citation.json"} </w:instrText>
      </w:r>
      <w:r w:rsidR="00543D3E" w:rsidRPr="00543D3E">
        <w:rPr>
          <w:rFonts w:ascii="Garamond" w:hAnsi="Garamond"/>
          <w:b/>
          <w:bCs/>
          <w:lang w:val="en-GB"/>
        </w:rPr>
        <w:fldChar w:fldCharType="separate"/>
      </w:r>
      <w:r w:rsidR="00543D3E" w:rsidRPr="00543D3E">
        <w:rPr>
          <w:rFonts w:ascii="Garamond" w:hAnsi="Garamond"/>
          <w:b/>
          <w:bCs/>
          <w:lang w:val="en-GB"/>
        </w:rPr>
        <w:t>(</w:t>
      </w:r>
      <w:proofErr w:type="spellStart"/>
      <w:r w:rsidR="00543D3E" w:rsidRPr="00543D3E">
        <w:rPr>
          <w:rFonts w:ascii="Garamond" w:hAnsi="Garamond"/>
          <w:b/>
          <w:bCs/>
          <w:lang w:val="en-GB"/>
        </w:rPr>
        <w:t>Shayestehyekta</w:t>
      </w:r>
      <w:proofErr w:type="spellEnd"/>
      <w:r w:rsidR="00543D3E" w:rsidRPr="00543D3E">
        <w:rPr>
          <w:rFonts w:ascii="Garamond" w:hAnsi="Garamond"/>
          <w:b/>
          <w:bCs/>
          <w:lang w:val="en-GB"/>
        </w:rPr>
        <w:t xml:space="preserve"> et al., 2022; Silva et al., 2025)</w:t>
      </w:r>
      <w:r w:rsidR="00543D3E" w:rsidRPr="00543D3E">
        <w:rPr>
          <w:rFonts w:ascii="Garamond" w:hAnsi="Garamond"/>
          <w:b/>
          <w:bCs/>
          <w:lang w:val="en-GB"/>
        </w:rPr>
        <w:fldChar w:fldCharType="end"/>
      </w:r>
      <w:r w:rsidR="00543D3E">
        <w:rPr>
          <w:rFonts w:ascii="Garamond" w:hAnsi="Garamond"/>
          <w:lang w:val="en-GB"/>
        </w:rPr>
        <w:t xml:space="preserve">. </w:t>
      </w:r>
      <w:r w:rsidR="00140F05" w:rsidRPr="005768C8">
        <w:rPr>
          <w:rFonts w:ascii="Garamond" w:hAnsi="Garamond"/>
          <w:lang w:val="en-GB"/>
        </w:rPr>
        <w:t>The 2-hour window represents realistic field-to-laboratory intervals in extensive pastoral systems.</w:t>
      </w:r>
    </w:p>
    <w:p w14:paraId="333636BE" w14:textId="4FD285DE" w:rsidR="00140F05" w:rsidRPr="005768C8" w:rsidRDefault="00493CAB" w:rsidP="000151FE">
      <w:pPr>
        <w:spacing w:before="100" w:beforeAutospacing="1" w:after="100" w:afterAutospacing="1"/>
        <w:jc w:val="both"/>
        <w:rPr>
          <w:rFonts w:ascii="Garamond" w:hAnsi="Garamond"/>
          <w:lang w:val="en-GB"/>
        </w:rPr>
      </w:pPr>
      <w:r>
        <w:rPr>
          <w:rFonts w:ascii="Garamond" w:hAnsi="Garamond"/>
          <w:lang w:val="en-GB"/>
        </w:rPr>
        <w:t xml:space="preserve">Upon arrival, the cauda epididymides were dissected and sterilely cleaned of any clinging connective tissue, blood vessels, or fat. The cauda was carefully targeted as the principal sperm storage area </w:t>
      </w:r>
      <w:proofErr w:type="spellStart"/>
      <w:r>
        <w:rPr>
          <w:rFonts w:ascii="Garamond" w:hAnsi="Garamond"/>
          <w:lang w:val="en-GB"/>
        </w:rPr>
        <w:t>harboring</w:t>
      </w:r>
      <w:proofErr w:type="spellEnd"/>
      <w:r>
        <w:rPr>
          <w:rFonts w:ascii="Garamond" w:hAnsi="Garamond"/>
          <w:lang w:val="en-GB"/>
        </w:rPr>
        <w:t xml:space="preserve"> mature, fertilizable spermatozoa.</w:t>
      </w:r>
      <w:r w:rsidR="00D86F19" w:rsidRPr="00D86F19">
        <w:rPr>
          <w:rFonts w:ascii="Garamond" w:hAnsi="Garamond"/>
          <w:b/>
          <w:bCs/>
          <w:lang w:val="en-GB"/>
        </w:rPr>
        <w:fldChar w:fldCharType="begin"/>
      </w:r>
      <w:r w:rsidR="00D86F19" w:rsidRPr="00D86F19">
        <w:rPr>
          <w:rFonts w:ascii="Garamond" w:hAnsi="Garamond"/>
          <w:b/>
          <w:bCs/>
          <w:lang w:val="en-GB"/>
        </w:rPr>
        <w:instrText xml:space="preserve"> ADDIN ZOTERO_ITEM CSL_CITATION {"citationID":"m4wxARpL","properties":{"unsorted":false,"formattedCitation":"(Wu et al., 2021)","plainCitation":"(Wu et al., 2021)","noteIndex":0},"citationItems":[{"id":238,"uris":["http://zotero.org/users/local/k5HYdJTW/items/WS2T37ZC"],"itemData":{"id":238,"type":"article-journal","abstract":"The epididymis is divided into three regions including the caput, corpus and cauda. Gene expression profiles in different regions indicate the different functions of epididymis which are crucial for sperm maturation. In this study, three one-year-old rams was used as the experimental animal. Transcriptome sequencing technology was used to sequence mRNA in the caput, corpus and cauda of the epididymis. Based on the spatiotemporal-specific expression pattern in the epididymis, the mRNA expression profiles of the three parts of the epididymis were analysed. Region-specifically expressed genes were analysed by GO and KEGG analyses to screen the key genes involved in sheep sperm maturation. We obtained 129, 54 and 99 specifically expressed genes in the caput, corpus and cauda, respectively. And twenty specific expressed genes related to sperm maturation were used to construct functional networks. The heatmap showed that 6 genes of LCN protein family were highly expressed in the head of epididymis of sheep. We infer that sperm maturation is gradual in the epididymis and that there are significant differences in epididymal gene expression patterns between different species. This provides a data resource for analysing the regulatory mechanism of epididymis genes related to sperm maturation in rams.","container-title":"PLOS ONE","DOI":"10.1371/journal.pone.0245933","ISSN":"1932-6203","issue":"1","journalAbbreviation":"PLoS ONE","language":"en","page":"e0245933","source":"DOI.org (Crossref)","title":"Study on the region-specific expression of epididymis mRNA in the rams","volume":"16","author":[{"family":"Wu","given":"Cuiling"},{"family":"Wang","given":"Chunxin"},{"family":"Zhai","given":"Bo"},{"family":"Zhao","given":"Yunhui"},{"family":"Zhao","given":"Zhuo"},{"family":"Yuan","given":"Zhiyu"},{"family":"Fu","given":"Xuefeng"},{"family":"Zhang","given":"Mingxin"}],"editor":[{"family":"Drevet","given":"Joël R."}],"issued":{"date-parts":[["2021",1,25]]}}}],"schema":"https://github.com/citation-style-language/schema/raw/master/csl-citation.json"} </w:instrText>
      </w:r>
      <w:r w:rsidR="00D86F19" w:rsidRPr="00D86F19">
        <w:rPr>
          <w:rFonts w:ascii="Garamond" w:hAnsi="Garamond"/>
          <w:b/>
          <w:bCs/>
          <w:lang w:val="en-GB"/>
        </w:rPr>
        <w:fldChar w:fldCharType="separate"/>
      </w:r>
      <w:r w:rsidR="00D86F19" w:rsidRPr="00D86F19">
        <w:rPr>
          <w:rFonts w:ascii="Garamond" w:hAnsi="Garamond"/>
          <w:b/>
          <w:bCs/>
          <w:lang w:val="en-GB"/>
        </w:rPr>
        <w:t>(Wu et al., 2021)</w:t>
      </w:r>
      <w:r w:rsidR="00D86F19" w:rsidRPr="00D86F19">
        <w:rPr>
          <w:rFonts w:ascii="Garamond" w:hAnsi="Garamond"/>
          <w:b/>
          <w:bCs/>
          <w:lang w:val="en-GB"/>
        </w:rPr>
        <w:fldChar w:fldCharType="end"/>
      </w:r>
      <w:r w:rsidR="00D86F19" w:rsidRPr="00D86F19">
        <w:rPr>
          <w:rFonts w:ascii="Garamond" w:hAnsi="Garamond"/>
          <w:b/>
          <w:bCs/>
          <w:lang w:val="en-GB"/>
        </w:rPr>
        <w:t>.</w:t>
      </w:r>
    </w:p>
    <w:p w14:paraId="41DEE446"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3.4.3 Sperm Recovery</w:t>
      </w:r>
    </w:p>
    <w:p w14:paraId="1EE835B0" w14:textId="2A392AF5" w:rsidR="00140F05" w:rsidRPr="005768C8" w:rsidRDefault="00140F05" w:rsidP="000151FE">
      <w:pPr>
        <w:spacing w:before="100" w:beforeAutospacing="1" w:after="100" w:afterAutospacing="1"/>
        <w:jc w:val="both"/>
        <w:rPr>
          <w:rFonts w:ascii="Garamond" w:hAnsi="Garamond"/>
          <w:lang w:val="en-GB"/>
        </w:rPr>
      </w:pPr>
      <w:r w:rsidRPr="00493CAB">
        <w:rPr>
          <w:rFonts w:ascii="Garamond" w:hAnsi="Garamond"/>
          <w:lang w:val="en-GB"/>
        </w:rPr>
        <w:t>Spermatozoa were recovered using the retrograde flushing technique</w:t>
      </w:r>
      <w:r w:rsidR="00332EDF">
        <w:rPr>
          <w:rFonts w:ascii="Garamond" w:hAnsi="Garamond"/>
          <w:b/>
          <w:bCs/>
          <w:lang w:val="en-GB"/>
        </w:rPr>
        <w:t xml:space="preserve"> </w:t>
      </w:r>
      <w:r w:rsidR="00332EDF">
        <w:rPr>
          <w:rFonts w:ascii="Garamond" w:hAnsi="Garamond"/>
          <w:b/>
          <w:bCs/>
          <w:lang w:val="en-GB"/>
        </w:rPr>
        <w:fldChar w:fldCharType="begin"/>
      </w:r>
      <w:r w:rsidR="00332EDF">
        <w:rPr>
          <w:rFonts w:ascii="Garamond" w:hAnsi="Garamond"/>
          <w:b/>
          <w:bCs/>
          <w:lang w:val="en-GB"/>
        </w:rPr>
        <w:instrText xml:space="preserve"> ADDIN ZOTERO_ITEM CSL_CITATION {"citationID":"yi51wvmA","properties":{"unsorted":false,"formattedCitation":"(Martinez-Pastor et al., 2006)","plainCitation":"(Martinez-Pastor et al., 2006)","noteIndex":0},"citationItems":[{"id":658,"uris":["http://zotero.org/users/local/k5HYdJTW/items/97MP6HN8"],"itemData":{"id":658,"type":"article-journal","container-title":"Theriogenology","DOI":"10.1016/j.theriogenology.2005.05.045","ISSN":"0093691X","issue":"3","journalAbbreviation":"Theriogenology","language":"en","license":"https://www.elsevier.com/tdm/userlicense/1.0/","page":"471-485","source":"DOI.org (Crossref)","title":"Comparison of two methods for obtaining spermatozoa from the cauda epididymis of Iberian red deer","volume":"65","author":[{"family":"Martinez-Pastor","given":"Felipe"},{"family":"Garcia-Macias","given":"Vanesa"},{"family":"Alvarez","given":"Mercedes"},{"family":"Chamorro","given":"Cesar"},{"family":"Herraez","given":"Paz"},{"family":"Paz","given":"Paulino De"},{"family":"Anel","given":"Luis"}],"issued":{"date-parts":[["2006",2]]}}}],"schema":"https://github.com/citation-style-language/schema/raw/master/csl-citation.json"} </w:instrText>
      </w:r>
      <w:r w:rsidR="00332EDF">
        <w:rPr>
          <w:rFonts w:ascii="Garamond" w:hAnsi="Garamond"/>
          <w:b/>
          <w:bCs/>
          <w:lang w:val="en-GB"/>
        </w:rPr>
        <w:fldChar w:fldCharType="separate"/>
      </w:r>
      <w:r w:rsidR="00332EDF" w:rsidRPr="00332EDF">
        <w:rPr>
          <w:rFonts w:ascii="Garamond" w:hAnsi="Garamond"/>
          <w:b/>
          <w:bCs/>
          <w:lang w:val="en-GB"/>
        </w:rPr>
        <w:t>(Martinez-Pastor et al., 2006)</w:t>
      </w:r>
      <w:r w:rsidR="00332EDF">
        <w:rPr>
          <w:rFonts w:ascii="Garamond" w:hAnsi="Garamond"/>
          <w:b/>
          <w:bCs/>
          <w:lang w:val="en-GB"/>
        </w:rPr>
        <w:fldChar w:fldCharType="end"/>
      </w:r>
      <w:r w:rsidR="00332EDF">
        <w:rPr>
          <w:rFonts w:ascii="Garamond" w:hAnsi="Garamond"/>
          <w:lang w:val="en-GB"/>
        </w:rPr>
        <w:t xml:space="preserve">, </w:t>
      </w:r>
      <w:r w:rsidR="00493CAB">
        <w:rPr>
          <w:rFonts w:ascii="Garamond" w:hAnsi="Garamond"/>
          <w:lang w:val="en-GB"/>
        </w:rPr>
        <w:t xml:space="preserve">A common method for collecting post-mortem epididymal sperm. A single incision was made at the corpus-cauda junction. A 1 mL syringe containing a warm (37°C) saline solution (0.9% NaCl, 308 </w:t>
      </w:r>
      <w:proofErr w:type="spellStart"/>
      <w:r w:rsidR="00493CAB">
        <w:rPr>
          <w:rFonts w:ascii="Garamond" w:hAnsi="Garamond"/>
          <w:lang w:val="en-GB"/>
        </w:rPr>
        <w:t>mOsm</w:t>
      </w:r>
      <w:proofErr w:type="spellEnd"/>
      <w:r w:rsidR="00493CAB">
        <w:rPr>
          <w:rFonts w:ascii="Garamond" w:hAnsi="Garamond"/>
          <w:lang w:val="en-GB"/>
        </w:rPr>
        <w:t>/kg, pH 7.2) was introduced into the vas deferens, and gentle, consistent pressure was used to flush spermatozoa down the cauda. The emerging fluid was collected in sterile 15 mL conical tubes.</w:t>
      </w:r>
    </w:p>
    <w:p w14:paraId="4D6055C3" w14:textId="769AB6E8" w:rsidR="00140F05" w:rsidRPr="005768C8" w:rsidRDefault="00493CAB" w:rsidP="000151FE">
      <w:pPr>
        <w:spacing w:before="100" w:beforeAutospacing="1" w:after="100" w:afterAutospacing="1"/>
        <w:jc w:val="both"/>
        <w:rPr>
          <w:rFonts w:ascii="Garamond" w:hAnsi="Garamond"/>
          <w:lang w:val="en-GB"/>
        </w:rPr>
      </w:pPr>
      <w:r>
        <w:rPr>
          <w:rFonts w:ascii="Garamond" w:hAnsi="Garamond"/>
          <w:lang w:val="en-GB"/>
        </w:rPr>
        <w:t>This method was chosen for: (a) good recovery efficiency as compared to mincing or aspiration; (b) low contamination with tissue debris; and (c) compliance with field situations that necessitate simple equipment.</w:t>
      </w:r>
    </w:p>
    <w:p w14:paraId="03C6F5DB"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3.4.4 DPP Extender Preparation</w:t>
      </w:r>
    </w:p>
    <w:p w14:paraId="02D28823" w14:textId="3B40F2A1" w:rsidR="00140F05" w:rsidRPr="00493CAB" w:rsidRDefault="00493CAB" w:rsidP="000151FE">
      <w:pPr>
        <w:spacing w:before="100" w:beforeAutospacing="1" w:after="100" w:afterAutospacing="1"/>
        <w:jc w:val="both"/>
        <w:rPr>
          <w:rFonts w:ascii="Garamond" w:hAnsi="Garamond"/>
          <w:lang w:val="en-GB"/>
        </w:rPr>
      </w:pPr>
      <w:r w:rsidRPr="00493CAB">
        <w:rPr>
          <w:rFonts w:ascii="Garamond" w:hAnsi="Garamond"/>
          <w:lang w:val="en-GB"/>
        </w:rPr>
        <w:t xml:space="preserve">Date palm pollen extenders (DPPE) were made using </w:t>
      </w:r>
      <w:r>
        <w:rPr>
          <w:rFonts w:ascii="Garamond" w:hAnsi="Garamond"/>
          <w:lang w:val="en-GB"/>
        </w:rPr>
        <w:t xml:space="preserve">the </w:t>
      </w:r>
      <w:r w:rsidRPr="00493CAB">
        <w:rPr>
          <w:rFonts w:ascii="Garamond" w:hAnsi="Garamond"/>
          <w:lang w:val="en-GB"/>
        </w:rPr>
        <w:t xml:space="preserve">Laghouati et al. (2021) NaCl pollen extender (NPE) method, which was adapted for ovine epididymal sperm. This water extraction </w:t>
      </w:r>
      <w:r w:rsidRPr="00493CAB">
        <w:rPr>
          <w:rFonts w:ascii="Garamond" w:hAnsi="Garamond"/>
          <w:lang w:val="en-GB"/>
        </w:rPr>
        <w:lastRenderedPageBreak/>
        <w:t>method was chosen for its field applicability</w:t>
      </w:r>
      <w:r>
        <w:rPr>
          <w:rFonts w:ascii="Garamond" w:hAnsi="Garamond"/>
          <w:lang w:val="en-GB"/>
        </w:rPr>
        <w:t xml:space="preserve">; </w:t>
      </w:r>
      <w:r w:rsidRPr="00493CAB">
        <w:rPr>
          <w:rFonts w:ascii="Garamond" w:hAnsi="Garamond"/>
          <w:lang w:val="en-GB"/>
        </w:rPr>
        <w:t>it requires no organic solvents, little equipment, and is easily used in resource-constrained environments.</w:t>
      </w:r>
    </w:p>
    <w:p w14:paraId="61BD5552" w14:textId="77777777"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b/>
          <w:bCs/>
          <w:lang w:val="en-GB"/>
        </w:rPr>
        <w:t>Preparation protocol:</w:t>
      </w:r>
    </w:p>
    <w:p w14:paraId="377F03E2" w14:textId="77777777" w:rsidR="00140F05" w:rsidRPr="005768C8" w:rsidRDefault="00140F05" w:rsidP="000151FE">
      <w:pPr>
        <w:numPr>
          <w:ilvl w:val="0"/>
          <w:numId w:val="2"/>
        </w:numPr>
        <w:spacing w:before="100" w:beforeAutospacing="1" w:after="100" w:afterAutospacing="1"/>
        <w:jc w:val="both"/>
        <w:rPr>
          <w:rFonts w:ascii="Garamond" w:hAnsi="Garamond"/>
          <w:lang w:val="en-GB"/>
        </w:rPr>
      </w:pPr>
      <w:r w:rsidRPr="005768C8">
        <w:rPr>
          <w:rFonts w:ascii="Garamond" w:hAnsi="Garamond"/>
          <w:b/>
          <w:bCs/>
          <w:lang w:val="en-GB"/>
        </w:rPr>
        <w:t>DPPE-0 (Control)</w:t>
      </w:r>
      <w:r w:rsidRPr="005768C8">
        <w:rPr>
          <w:rFonts w:ascii="Garamond" w:hAnsi="Garamond"/>
          <w:lang w:val="en-GB"/>
        </w:rPr>
        <w:t xml:space="preserve">: 1 mL saline (0.9% NaCl, 308 </w:t>
      </w:r>
      <w:proofErr w:type="spellStart"/>
      <w:r w:rsidRPr="005768C8">
        <w:rPr>
          <w:rFonts w:ascii="Garamond" w:hAnsi="Garamond"/>
          <w:lang w:val="en-GB"/>
        </w:rPr>
        <w:t>mOsm</w:t>
      </w:r>
      <w:proofErr w:type="spellEnd"/>
      <w:r w:rsidRPr="005768C8">
        <w:rPr>
          <w:rFonts w:ascii="Garamond" w:hAnsi="Garamond"/>
          <w:lang w:val="en-GB"/>
        </w:rPr>
        <w:t>/L, pH 7.2)</w:t>
      </w:r>
    </w:p>
    <w:p w14:paraId="1EC4BE75" w14:textId="77777777" w:rsidR="00140F05" w:rsidRPr="005768C8" w:rsidRDefault="00140F05" w:rsidP="000151FE">
      <w:pPr>
        <w:numPr>
          <w:ilvl w:val="0"/>
          <w:numId w:val="2"/>
        </w:numPr>
        <w:spacing w:before="100" w:beforeAutospacing="1" w:after="100" w:afterAutospacing="1"/>
        <w:jc w:val="both"/>
        <w:rPr>
          <w:rFonts w:ascii="Garamond" w:hAnsi="Garamond"/>
          <w:lang w:val="en-GB"/>
        </w:rPr>
      </w:pPr>
      <w:r w:rsidRPr="005768C8">
        <w:rPr>
          <w:rFonts w:ascii="Garamond" w:hAnsi="Garamond"/>
          <w:b/>
          <w:bCs/>
          <w:lang w:val="en-GB"/>
        </w:rPr>
        <w:t>DPPE-40</w:t>
      </w:r>
      <w:r w:rsidRPr="005768C8">
        <w:rPr>
          <w:rFonts w:ascii="Garamond" w:hAnsi="Garamond"/>
          <w:lang w:val="en-GB"/>
        </w:rPr>
        <w:t>: 40 mg DPP soaked in 1 mL saline</w:t>
      </w:r>
    </w:p>
    <w:p w14:paraId="7CCB61AC" w14:textId="77777777" w:rsidR="00140F05" w:rsidRPr="005768C8" w:rsidRDefault="00140F05" w:rsidP="000151FE">
      <w:pPr>
        <w:numPr>
          <w:ilvl w:val="0"/>
          <w:numId w:val="2"/>
        </w:numPr>
        <w:spacing w:before="100" w:beforeAutospacing="1" w:after="100" w:afterAutospacing="1"/>
        <w:jc w:val="both"/>
        <w:rPr>
          <w:rFonts w:ascii="Garamond" w:hAnsi="Garamond"/>
          <w:lang w:val="en-GB"/>
        </w:rPr>
      </w:pPr>
      <w:r w:rsidRPr="005768C8">
        <w:rPr>
          <w:rFonts w:ascii="Garamond" w:hAnsi="Garamond"/>
          <w:b/>
          <w:bCs/>
          <w:lang w:val="en-GB"/>
        </w:rPr>
        <w:t>DPPE-80</w:t>
      </w:r>
      <w:r w:rsidRPr="005768C8">
        <w:rPr>
          <w:rFonts w:ascii="Garamond" w:hAnsi="Garamond"/>
          <w:lang w:val="en-GB"/>
        </w:rPr>
        <w:t>: 80 mg DPP soaked in 1 mL saline</w:t>
      </w:r>
    </w:p>
    <w:p w14:paraId="216EF527" w14:textId="0071F710" w:rsidR="00140F05" w:rsidRPr="005768C8" w:rsidRDefault="00493CAB" w:rsidP="000151FE">
      <w:pPr>
        <w:spacing w:before="100" w:beforeAutospacing="1" w:after="100" w:afterAutospacing="1"/>
        <w:jc w:val="both"/>
        <w:rPr>
          <w:rFonts w:ascii="Garamond" w:hAnsi="Garamond"/>
          <w:lang w:val="en-GB"/>
        </w:rPr>
      </w:pPr>
      <w:r>
        <w:rPr>
          <w:rFonts w:ascii="Garamond" w:hAnsi="Garamond"/>
          <w:lang w:val="en-GB"/>
        </w:rPr>
        <w:t xml:space="preserve">DPP was suspended by </w:t>
      </w:r>
      <w:proofErr w:type="spellStart"/>
      <w:r>
        <w:rPr>
          <w:rFonts w:ascii="Garamond" w:hAnsi="Garamond"/>
          <w:lang w:val="en-GB"/>
        </w:rPr>
        <w:t>vortexing</w:t>
      </w:r>
      <w:proofErr w:type="spellEnd"/>
      <w:r>
        <w:rPr>
          <w:rFonts w:ascii="Garamond" w:hAnsi="Garamond"/>
          <w:lang w:val="en-GB"/>
        </w:rPr>
        <w:t>, and all tubes were refrigerated at 4°C for 24 hours to allow for bioactive component extraction. Centrifuge tubes (parameters: [insert speed × time]) to remove particle debris. Collect the clear supernatant as an extender for sperm dilution. This extraction duration and temperature were chosen based on Laghouati et al. (2021) preliminary optimisation to maximise polyphenol recovery while minimising microbial growth.</w:t>
      </w:r>
    </w:p>
    <w:p w14:paraId="38BFA1C6"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3.4.5 Experimental Design and Treatments</w:t>
      </w:r>
    </w:p>
    <w:p w14:paraId="2AAE0325" w14:textId="66EEADFC" w:rsidR="00140F05" w:rsidRPr="005768C8" w:rsidRDefault="00493CAB" w:rsidP="000151FE">
      <w:pPr>
        <w:spacing w:before="100" w:beforeAutospacing="1" w:after="100" w:afterAutospacing="1"/>
        <w:jc w:val="both"/>
        <w:rPr>
          <w:rFonts w:ascii="Garamond" w:hAnsi="Garamond"/>
          <w:lang w:val="en-GB"/>
        </w:rPr>
      </w:pPr>
      <w:r>
        <w:rPr>
          <w:rFonts w:ascii="Garamond" w:hAnsi="Garamond"/>
          <w:lang w:val="en-GB"/>
        </w:rPr>
        <w:t>Each ram's recovered epididymal sperm was separated into three equal aliquots and diluted 1:1 (v/v) in one of three prepared mediums (DPPE-0, DPPE-40, or DPPE-80). To preserve ovine sperm, the final concentration was adjusted to 350 x 10</w:t>
      </w:r>
      <w:r>
        <w:rPr>
          <w:rFonts w:ascii="Cambria Math" w:hAnsi="Cambria Math" w:cs="Cambria Math"/>
          <w:lang w:val="en-GB"/>
        </w:rPr>
        <w:t>⁶</w:t>
      </w:r>
      <w:r>
        <w:rPr>
          <w:rFonts w:ascii="Garamond" w:hAnsi="Garamond"/>
          <w:lang w:val="en-GB"/>
        </w:rPr>
        <w:t xml:space="preserve"> cells/mL, which is a standard value.</w:t>
      </w:r>
      <w:r w:rsidR="009B6EEE" w:rsidRPr="009B6EEE">
        <w:rPr>
          <w:rFonts w:ascii="Garamond" w:hAnsi="Garamond"/>
          <w:b/>
          <w:bCs/>
          <w:lang w:val="en-GB"/>
        </w:rPr>
        <w:fldChar w:fldCharType="begin"/>
      </w:r>
      <w:r w:rsidR="009B6EEE" w:rsidRPr="009B6EEE">
        <w:rPr>
          <w:rFonts w:ascii="Garamond" w:hAnsi="Garamond"/>
          <w:b/>
          <w:bCs/>
          <w:lang w:val="en-GB"/>
        </w:rPr>
        <w:instrText xml:space="preserve"> ADDIN ZOTERO_ITEM CSL_CITATION {"citationID":"E0OhRFu2","properties":{"unsorted":false,"formattedCitation":"(Maxwell &amp; Watson, 1996)","plainCitation":"(Maxwell &amp; Watson, 1996)","noteIndex":0},"citationItems":[{"id":660,"uris":["http://zotero.org/users/local/k5HYdJTW/items/BDDHBLAR"],"itemData":{"id":660,"type":"article-journal","container-title":"Animal Reproduction Science","DOI":"10.1016/0378-4320(96)01544-8","ISSN":"03784320","issue":"1-4","journalAbbreviation":"Animal Reproduction Science","language":"en","page":"55-65","source":"DOI.org (Crossref)","title":"Recent progress in the preservation of ram semen","volume":"42","author":[{"family":"Maxwell","given":"W.M.C."},{"family":"Watson","given":"P.F."}],"issued":{"date-parts":[["1996",4]]}}}],"schema":"https://github.com/citation-style-language/schema/raw/master/csl-citation.json"} </w:instrText>
      </w:r>
      <w:r w:rsidR="009B6EEE" w:rsidRPr="009B6EEE">
        <w:rPr>
          <w:rFonts w:ascii="Garamond" w:hAnsi="Garamond"/>
          <w:b/>
          <w:bCs/>
          <w:lang w:val="en-GB"/>
        </w:rPr>
        <w:fldChar w:fldCharType="separate"/>
      </w:r>
      <w:r w:rsidR="009B6EEE" w:rsidRPr="009B6EEE">
        <w:rPr>
          <w:rFonts w:ascii="Garamond" w:hAnsi="Garamond"/>
          <w:b/>
          <w:bCs/>
          <w:lang w:val="en-GB"/>
        </w:rPr>
        <w:t>(Maxwell &amp; Watson, 1996)</w:t>
      </w:r>
      <w:r w:rsidR="009B6EEE" w:rsidRPr="009B6EEE">
        <w:rPr>
          <w:rFonts w:ascii="Garamond" w:hAnsi="Garamond"/>
          <w:b/>
          <w:bCs/>
          <w:lang w:val="en-GB"/>
        </w:rPr>
        <w:fldChar w:fldCharType="end"/>
      </w:r>
      <w:r w:rsidR="009B6EEE" w:rsidRPr="009B6EEE">
        <w:rPr>
          <w:rFonts w:ascii="Garamond" w:hAnsi="Garamond"/>
          <w:b/>
          <w:bCs/>
          <w:lang w:val="en-GB"/>
        </w:rPr>
        <w:t>.</w:t>
      </w:r>
    </w:p>
    <w:p w14:paraId="70BB7097" w14:textId="0769F513" w:rsidR="00140F05" w:rsidRPr="00493CAB" w:rsidRDefault="00493CAB" w:rsidP="000151FE">
      <w:pPr>
        <w:spacing w:before="100" w:beforeAutospacing="1" w:after="100" w:afterAutospacing="1"/>
        <w:jc w:val="both"/>
        <w:rPr>
          <w:rFonts w:ascii="Garamond" w:hAnsi="Garamond"/>
          <w:lang w:val="en-GB"/>
        </w:rPr>
      </w:pPr>
      <w:r w:rsidRPr="00493CAB">
        <w:rPr>
          <w:rFonts w:ascii="Garamond" w:hAnsi="Garamond"/>
          <w:lang w:val="en-GB"/>
        </w:rPr>
        <w:t>Aliquots (0.5 mL) were placed in sterile tubes, coated with mineral oil to prevent evaporation and gas exchange, and refrigerated at 4°C for 48 hours. This chilled storage protocol was chosen because it is (a) representative of field conditions where cryopreservation infrastructure may not be available, (b) technically simpler than cryopreservation for initial efficacy screening, and (c) physiologically relevant to the "golden hour" extension concept.</w:t>
      </w:r>
    </w:p>
    <w:p w14:paraId="61DB3C00" w14:textId="32FDF170" w:rsidR="00140F05" w:rsidRPr="0003699A" w:rsidRDefault="0003699A" w:rsidP="000151FE">
      <w:pPr>
        <w:spacing w:before="100" w:beforeAutospacing="1" w:after="100" w:afterAutospacing="1"/>
        <w:jc w:val="both"/>
        <w:rPr>
          <w:rFonts w:ascii="Garamond" w:hAnsi="Garamond"/>
          <w:lang w:val="en-GB"/>
        </w:rPr>
      </w:pPr>
      <w:r w:rsidRPr="0003699A">
        <w:rPr>
          <w:rFonts w:ascii="Garamond" w:hAnsi="Garamond"/>
          <w:lang w:val="en-GB"/>
        </w:rPr>
        <w:t>Quality criteria were assessed at 0, 24, and 48 hours to capture immediate effects, mid-storage stability, and long-term preservation capacity.</w:t>
      </w:r>
    </w:p>
    <w:p w14:paraId="3299C29D"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3.4.6 Sperm Quality Assessment</w:t>
      </w:r>
    </w:p>
    <w:p w14:paraId="4FCBC91E"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3.4.6.1 Total and Progressive Motility (CASA)</w:t>
      </w:r>
    </w:p>
    <w:p w14:paraId="57EF53B2" w14:textId="2A85DE31" w:rsidR="00140F05" w:rsidRPr="005768C8" w:rsidRDefault="0003699A" w:rsidP="000151FE">
      <w:pPr>
        <w:spacing w:before="100" w:beforeAutospacing="1" w:after="100" w:afterAutospacing="1"/>
        <w:jc w:val="both"/>
        <w:rPr>
          <w:rFonts w:ascii="Garamond" w:hAnsi="Garamond"/>
          <w:lang w:val="en-GB"/>
        </w:rPr>
      </w:pPr>
      <w:r>
        <w:rPr>
          <w:rFonts w:ascii="Garamond" w:hAnsi="Garamond"/>
          <w:lang w:val="en-GB"/>
        </w:rPr>
        <w:t xml:space="preserve">The samples were gently mixed and equilibrated at 37°C for 5 minutes prior to analysis. To perform Computer-Assisted Sperm Analysis (CASA), 3 </w:t>
      </w:r>
      <w:proofErr w:type="spellStart"/>
      <w:r>
        <w:rPr>
          <w:rFonts w:ascii="Garamond" w:hAnsi="Garamond"/>
          <w:lang w:val="en-GB"/>
        </w:rPr>
        <w:t>μL</w:t>
      </w:r>
      <w:proofErr w:type="spellEnd"/>
      <w:r>
        <w:rPr>
          <w:rFonts w:ascii="Garamond" w:hAnsi="Garamond"/>
          <w:lang w:val="en-GB"/>
        </w:rPr>
        <w:t xml:space="preserve"> was fed into a 20-μm Leja® chamber and </w:t>
      </w:r>
      <w:proofErr w:type="spellStart"/>
      <w:r>
        <w:rPr>
          <w:rFonts w:ascii="Garamond" w:hAnsi="Garamond"/>
          <w:lang w:val="en-GB"/>
        </w:rPr>
        <w:t>analyzed</w:t>
      </w:r>
      <w:proofErr w:type="spellEnd"/>
      <w:r>
        <w:rPr>
          <w:rFonts w:ascii="Garamond" w:hAnsi="Garamond"/>
          <w:lang w:val="en-GB"/>
        </w:rPr>
        <w:t xml:space="preserve"> using the Sperm Class Analyzer® (SCA) system (</w:t>
      </w:r>
      <w:proofErr w:type="spellStart"/>
      <w:r>
        <w:rPr>
          <w:rFonts w:ascii="Garamond" w:hAnsi="Garamond"/>
          <w:lang w:val="en-GB"/>
        </w:rPr>
        <w:t>Microptic</w:t>
      </w:r>
      <w:proofErr w:type="spellEnd"/>
      <w:r>
        <w:rPr>
          <w:rFonts w:ascii="Garamond" w:hAnsi="Garamond"/>
          <w:lang w:val="en-GB"/>
        </w:rPr>
        <w:t>, Barcelona, Spain) at 60 frames per second. Settings include a 10× phase contrast objective and ovine-specific preset parameters.</w:t>
      </w:r>
    </w:p>
    <w:p w14:paraId="136ABEAA" w14:textId="5BD49052" w:rsidR="00140F05" w:rsidRPr="005768C8" w:rsidRDefault="0003699A" w:rsidP="000151FE">
      <w:pPr>
        <w:spacing w:before="100" w:beforeAutospacing="1" w:after="100" w:afterAutospacing="1"/>
        <w:jc w:val="both"/>
        <w:rPr>
          <w:rFonts w:ascii="Garamond" w:hAnsi="Garamond"/>
          <w:lang w:val="en-GB"/>
        </w:rPr>
      </w:pPr>
      <w:r>
        <w:rPr>
          <w:rFonts w:ascii="Garamond" w:hAnsi="Garamond"/>
          <w:b/>
          <w:bCs/>
          <w:lang w:val="en-GB"/>
        </w:rPr>
        <w:t>To guarantee a representative evaluation, at least five fields were gathered for each sample. The intra-assay coefficient of variation (CV) for motility parameters was less than 5%, indicating technical precision. CASA provides:</w:t>
      </w:r>
    </w:p>
    <w:p w14:paraId="012141EC" w14:textId="77777777" w:rsidR="00140F05" w:rsidRPr="005768C8" w:rsidRDefault="00140F05" w:rsidP="000151FE">
      <w:pPr>
        <w:numPr>
          <w:ilvl w:val="0"/>
          <w:numId w:val="3"/>
        </w:numPr>
        <w:spacing w:before="100" w:beforeAutospacing="1" w:after="100" w:afterAutospacing="1"/>
        <w:jc w:val="both"/>
        <w:rPr>
          <w:rFonts w:ascii="Garamond" w:hAnsi="Garamond"/>
          <w:lang w:val="en-GB"/>
        </w:rPr>
      </w:pPr>
      <w:r w:rsidRPr="005768C8">
        <w:rPr>
          <w:rFonts w:ascii="Garamond" w:hAnsi="Garamond"/>
          <w:b/>
          <w:bCs/>
          <w:lang w:val="en-GB"/>
        </w:rPr>
        <w:t>Total motility (%)</w:t>
      </w:r>
      <w:r w:rsidRPr="005768C8">
        <w:rPr>
          <w:rFonts w:ascii="Garamond" w:hAnsi="Garamond"/>
          <w:lang w:val="en-GB"/>
        </w:rPr>
        <w:t>: Proportion of sperm with detectable movement</w:t>
      </w:r>
    </w:p>
    <w:p w14:paraId="73EABD1E" w14:textId="77777777" w:rsidR="00140F05" w:rsidRPr="005768C8" w:rsidRDefault="00140F05" w:rsidP="000151FE">
      <w:pPr>
        <w:numPr>
          <w:ilvl w:val="0"/>
          <w:numId w:val="3"/>
        </w:numPr>
        <w:spacing w:before="100" w:beforeAutospacing="1" w:after="100" w:afterAutospacing="1"/>
        <w:jc w:val="both"/>
        <w:rPr>
          <w:rFonts w:ascii="Garamond" w:hAnsi="Garamond"/>
          <w:lang w:val="en-GB"/>
        </w:rPr>
      </w:pPr>
      <w:r w:rsidRPr="005768C8">
        <w:rPr>
          <w:rFonts w:ascii="Garamond" w:hAnsi="Garamond"/>
          <w:b/>
          <w:bCs/>
          <w:lang w:val="en-GB"/>
        </w:rPr>
        <w:t>Progressive motility (%)</w:t>
      </w:r>
      <w:r w:rsidRPr="005768C8">
        <w:rPr>
          <w:rFonts w:ascii="Garamond" w:hAnsi="Garamond"/>
          <w:lang w:val="en-GB"/>
        </w:rPr>
        <w:t xml:space="preserve">: Proportion with forward progression (VAP &gt;25 </w:t>
      </w:r>
      <w:proofErr w:type="spellStart"/>
      <w:r w:rsidRPr="005768C8">
        <w:rPr>
          <w:rFonts w:ascii="Garamond" w:hAnsi="Garamond"/>
          <w:lang w:val="en-GB"/>
        </w:rPr>
        <w:t>μm</w:t>
      </w:r>
      <w:proofErr w:type="spellEnd"/>
      <w:r w:rsidRPr="005768C8">
        <w:rPr>
          <w:rFonts w:ascii="Garamond" w:hAnsi="Garamond"/>
          <w:lang w:val="en-GB"/>
        </w:rPr>
        <w:t>/s and STR &gt;50%)</w:t>
      </w:r>
    </w:p>
    <w:p w14:paraId="5CBB8F20" w14:textId="6F298F6D"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lang w:val="en-GB"/>
        </w:rPr>
        <w:lastRenderedPageBreak/>
        <w:t xml:space="preserve">CASA was selected for </w:t>
      </w:r>
      <w:r w:rsidRPr="005768C8">
        <w:rPr>
          <w:rFonts w:ascii="Garamond" w:hAnsi="Garamond"/>
          <w:b/>
          <w:bCs/>
          <w:lang w:val="en-GB"/>
        </w:rPr>
        <w:t>objective, quantitative assessment</w:t>
      </w:r>
      <w:r w:rsidR="00895D00" w:rsidRPr="005768C8">
        <w:rPr>
          <w:rFonts w:ascii="Garamond" w:hAnsi="Garamond"/>
          <w:b/>
          <w:bCs/>
          <w:lang w:val="en-GB"/>
        </w:rPr>
        <w:t>,</w:t>
      </w:r>
      <w:r w:rsidRPr="005768C8">
        <w:rPr>
          <w:rFonts w:ascii="Garamond" w:hAnsi="Garamond"/>
          <w:lang w:val="en-GB"/>
        </w:rPr>
        <w:t xml:space="preserve"> eliminating observer bias and enabling detection of subtle kinematic changes indicative of functional status </w:t>
      </w:r>
      <w:commentRangeStart w:id="1"/>
      <w:r w:rsidRPr="0003699A">
        <w:rPr>
          <w:rFonts w:ascii="Garamond" w:hAnsi="Garamond"/>
          <w:b/>
          <w:bCs/>
          <w:lang w:val="en-GB"/>
        </w:rPr>
        <w:t xml:space="preserve">(Amann &amp; </w:t>
      </w:r>
      <w:proofErr w:type="spellStart"/>
      <w:r w:rsidRPr="0003699A">
        <w:rPr>
          <w:rFonts w:ascii="Garamond" w:hAnsi="Garamond"/>
          <w:b/>
          <w:bCs/>
          <w:lang w:val="en-GB"/>
        </w:rPr>
        <w:t>Waberski</w:t>
      </w:r>
      <w:proofErr w:type="spellEnd"/>
      <w:r w:rsidRPr="0003699A">
        <w:rPr>
          <w:rFonts w:ascii="Garamond" w:hAnsi="Garamond"/>
          <w:b/>
          <w:bCs/>
          <w:lang w:val="en-GB"/>
        </w:rPr>
        <w:t>, 2014; Mortimer, 1994).</w:t>
      </w:r>
      <w:commentRangeEnd w:id="1"/>
      <w:r w:rsidR="0003699A" w:rsidRPr="0003699A">
        <w:rPr>
          <w:rStyle w:val="CommentReference"/>
          <w:b/>
          <w:bCs/>
        </w:rPr>
        <w:commentReference w:id="1"/>
      </w:r>
    </w:p>
    <w:p w14:paraId="226EB6F6"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3.4.6.2 Plasma Membrane Integrity (HOST)</w:t>
      </w:r>
    </w:p>
    <w:p w14:paraId="0C6DCA45" w14:textId="0A0BA2DA"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lang w:val="en-GB"/>
        </w:rPr>
        <w:t xml:space="preserve">Functional membrane integrity was evaluated by the </w:t>
      </w:r>
      <w:r w:rsidRPr="00B128AA">
        <w:rPr>
          <w:rFonts w:ascii="Garamond" w:hAnsi="Garamond"/>
          <w:lang w:val="en-GB"/>
        </w:rPr>
        <w:t>Hypo-Osmotic Swelling Test (HOST)</w:t>
      </w:r>
      <w:r w:rsidR="0007123E">
        <w:rPr>
          <w:rFonts w:ascii="Garamond" w:hAnsi="Garamond"/>
          <w:b/>
          <w:bCs/>
          <w:lang w:val="en-GB"/>
        </w:rPr>
        <w:t xml:space="preserve"> </w:t>
      </w:r>
      <w:r w:rsidR="004D12B7">
        <w:rPr>
          <w:rFonts w:ascii="Garamond" w:hAnsi="Garamond"/>
          <w:b/>
          <w:bCs/>
          <w:lang w:val="en-GB"/>
        </w:rPr>
        <w:fldChar w:fldCharType="begin"/>
      </w:r>
      <w:r w:rsidR="004D12B7">
        <w:rPr>
          <w:rFonts w:ascii="Garamond" w:hAnsi="Garamond"/>
          <w:b/>
          <w:bCs/>
          <w:lang w:val="en-GB"/>
        </w:rPr>
        <w:instrText xml:space="preserve"> ADDIN ZOTERO_ITEM CSL_CITATION {"citationID":"aTmhGjzR","properties":{"unsorted":false,"formattedCitation":"(Jeyendran et al., 1984)","plainCitation":"(Jeyendran et al., 1984)","noteIndex":0},"citationItems":[{"id":661,"uris":["http://zotero.org/users/local/k5HYdJTW/items/XIL4CFP4"],"itemData":{"id":661,"type":"article-journal","abstract":"Summary.\n            The objective of this study was to develop a relatively simple test to evaluate the functional integrity of the membranes of human spermatozoa. As in some other species, human spermatozoa 'swell' under hypo-osmotic conditions due to the influx of water and the expansion of the membranes. A mixture of equal parts of fructose and sodium citrate (150 mosmol) with calculated ionic strength of 0·15 resulted in a maximal number of clearly identifiable swollen spermatozoa. Only small variations were seen when different aliquants of the same semen samples were separately evaluated. A high correlation (r = 0·94) was obtained between expected and observed values of swollen spermatozoa when known amounts of heat-treated spermatozoa, unable to undergo swelling, were added to untreated spermatozoa. A good correlation (r = 0·90) was also observed between the % spermatozoa in a semen sample that were capable of undergoing swelling and the % of denuded hamster oocytes that were penetrated by capacitated spermatozoa from the same semen sample. By contrast, the correlations between % sperm swelling in ejaculates and % normal sperm forms, % motile spermatozoa and % spermatozoa that do not stain with eosin-Y (supravital stain) in the same ejaculates were 0·30,0·61 and 0·52, respectively. Therefore, the hypo-osmotic swelling technique to evaluate the functional integrity of the sperm membrane appears to give high repeatability and accuracy and is closely correlated to the in-vitro fertilizing ability of spermatozoa. It may be a useful addition to the standard semen analysis.","container-title":"Reproduction","DOI":"10.1530/jrf.0.0700219","ISSN":"1470-1626, 1741-7899","issue":"1","language":"en","license":"https://academic.oup.com/pages/standard-publication-reuse-rights","page":"219-228","source":"DOI.org (Crossref)","title":"Development of an assay to assess the functional integrity of the human sperm membrane and its relationship to other semen characteristics","volume":"70","author":[{"family":"Jeyendran","given":"R. S."},{"family":"Van Der Ven","given":"H. H."},{"family":"Perez-Pelaez","given":"M."},{"family":"Crabo","given":"B. G."},{"family":"Zaneveld","given":"L. J. D."}],"issued":{"date-parts":[["1984",1,1]]}}}],"schema":"https://github.com/citation-style-language/schema/raw/master/csl-citation.json"} </w:instrText>
      </w:r>
      <w:r w:rsidR="004D12B7">
        <w:rPr>
          <w:rFonts w:ascii="Garamond" w:hAnsi="Garamond"/>
          <w:b/>
          <w:bCs/>
          <w:lang w:val="en-GB"/>
        </w:rPr>
        <w:fldChar w:fldCharType="separate"/>
      </w:r>
      <w:r w:rsidR="004D12B7" w:rsidRPr="004D12B7">
        <w:rPr>
          <w:rFonts w:ascii="Garamond" w:hAnsi="Garamond"/>
          <w:b/>
          <w:bCs/>
          <w:lang w:val="en-GB"/>
        </w:rPr>
        <w:t>(Jeyendran et al., 1984)</w:t>
      </w:r>
      <w:r w:rsidR="004D12B7">
        <w:rPr>
          <w:rFonts w:ascii="Garamond" w:hAnsi="Garamond"/>
          <w:b/>
          <w:bCs/>
          <w:lang w:val="en-GB"/>
        </w:rPr>
        <w:fldChar w:fldCharType="end"/>
      </w:r>
      <w:r w:rsidR="0007123E">
        <w:rPr>
          <w:rFonts w:ascii="Garamond" w:hAnsi="Garamond"/>
          <w:lang w:val="en-GB"/>
        </w:rPr>
        <w:t xml:space="preserve">, </w:t>
      </w:r>
      <w:r w:rsidRPr="005768C8">
        <w:rPr>
          <w:rFonts w:ascii="Garamond" w:hAnsi="Garamond"/>
          <w:lang w:val="en-GB"/>
        </w:rPr>
        <w:t xml:space="preserve">which assesses the ability of sperm to maintain osmotic balance—essential for capacitation and </w:t>
      </w:r>
      <w:r w:rsidR="00895D00" w:rsidRPr="005768C8">
        <w:rPr>
          <w:rFonts w:ascii="Garamond" w:hAnsi="Garamond"/>
          <w:lang w:val="en-GB"/>
        </w:rPr>
        <w:t>fertilisation</w:t>
      </w:r>
      <w:r w:rsidRPr="005768C8">
        <w:rPr>
          <w:rFonts w:ascii="Garamond" w:hAnsi="Garamond"/>
          <w:lang w:val="en-GB"/>
        </w:rPr>
        <w:t xml:space="preserve"> competence.</w:t>
      </w:r>
    </w:p>
    <w:p w14:paraId="6AF576CE" w14:textId="677E128D" w:rsidR="00140F05" w:rsidRPr="005768C8" w:rsidRDefault="00B128AA" w:rsidP="000151FE">
      <w:pPr>
        <w:spacing w:before="100" w:beforeAutospacing="1" w:after="100" w:afterAutospacing="1"/>
        <w:jc w:val="both"/>
        <w:rPr>
          <w:rFonts w:ascii="Garamond" w:hAnsi="Garamond"/>
          <w:lang w:val="en-GB"/>
        </w:rPr>
      </w:pPr>
      <w:r>
        <w:rPr>
          <w:rFonts w:ascii="Garamond" w:hAnsi="Garamond"/>
          <w:lang w:val="en-GB"/>
        </w:rPr>
        <w:t xml:space="preserve">An iso-osmotic swelling solution (150 </w:t>
      </w:r>
      <w:proofErr w:type="spellStart"/>
      <w:r>
        <w:rPr>
          <w:rFonts w:ascii="Garamond" w:hAnsi="Garamond"/>
          <w:lang w:val="en-GB"/>
        </w:rPr>
        <w:t>mOsm</w:t>
      </w:r>
      <w:proofErr w:type="spellEnd"/>
      <w:r>
        <w:rPr>
          <w:rFonts w:ascii="Garamond" w:hAnsi="Garamond"/>
          <w:lang w:val="en-GB"/>
        </w:rPr>
        <w:t xml:space="preserve">/L sodium citrate with 20 mM fructose) was made. Sperm (50 </w:t>
      </w:r>
      <w:proofErr w:type="spellStart"/>
      <w:r>
        <w:rPr>
          <w:rFonts w:ascii="Garamond" w:hAnsi="Garamond"/>
          <w:lang w:val="en-GB"/>
        </w:rPr>
        <w:t>μL</w:t>
      </w:r>
      <w:proofErr w:type="spellEnd"/>
      <w:r>
        <w:rPr>
          <w:rFonts w:ascii="Garamond" w:hAnsi="Garamond"/>
          <w:lang w:val="en-GB"/>
        </w:rPr>
        <w:t>) were incubated with 1 mL of HOST solution for 30 minutes at 37°C, then fixed with 10% formalin. A minimum of 200 cells per sample were scored under phase contrast microscopy (400×) for tail swelling (intact membrane, functional) or non-swollen tails (damaged membrane, non-functional). The HOST-positive proportion was used to generate the conservative effect indicator.</w:t>
      </w:r>
    </w:p>
    <w:p w14:paraId="380D101B"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3.4.7 Statistical Analysis</w:t>
      </w:r>
    </w:p>
    <w:p w14:paraId="0A9784A0" w14:textId="5A913CAD" w:rsidR="00140F05" w:rsidRPr="005768C8" w:rsidRDefault="00B128AA" w:rsidP="00B128AA">
      <w:pPr>
        <w:spacing w:before="100" w:beforeAutospacing="1" w:after="100" w:afterAutospacing="1"/>
        <w:jc w:val="both"/>
        <w:rPr>
          <w:rFonts w:ascii="Garamond" w:hAnsi="Garamond"/>
          <w:lang w:val="en-GB"/>
        </w:rPr>
      </w:pPr>
      <w:r>
        <w:rPr>
          <w:rFonts w:ascii="Garamond" w:hAnsi="Garamond"/>
          <w:lang w:val="en-GB"/>
        </w:rPr>
        <w:t>Data were presented as mean ± SEM. The effects of extender concentration (0, 40, 80 mg/mL), storage period (0, 24, 48 h), and their interaction were investigated using two-way repeated-measures ANOVA, with "ram" as the subject factor to account for individual animal variance.</w:t>
      </w:r>
      <w:r w:rsidR="00140F05" w:rsidRPr="005768C8">
        <w:rPr>
          <w:rFonts w:ascii="Garamond" w:hAnsi="Garamond"/>
          <w:lang w:val="en-GB"/>
        </w:rPr>
        <w:t xml:space="preserve"> All analyses were performed using </w:t>
      </w:r>
      <w:r w:rsidR="00140F05" w:rsidRPr="00B128AA">
        <w:rPr>
          <w:rFonts w:ascii="Garamond" w:hAnsi="Garamond"/>
          <w:lang w:val="en-GB"/>
        </w:rPr>
        <w:t>IBM SPSS Statistics version 27.</w:t>
      </w:r>
    </w:p>
    <w:p w14:paraId="71C7A412"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3.5 Integration of Experiments and Data Flow</w:t>
      </w:r>
    </w:p>
    <w:tbl>
      <w:tblPr>
        <w:tblStyle w:val="TableGrid"/>
        <w:tblW w:w="0" w:type="auto"/>
        <w:tblLook w:val="04A0" w:firstRow="1" w:lastRow="0" w:firstColumn="1" w:lastColumn="0" w:noHBand="0" w:noVBand="1"/>
      </w:tblPr>
      <w:tblGrid>
        <w:gridCol w:w="2062"/>
        <w:gridCol w:w="3835"/>
        <w:gridCol w:w="3164"/>
      </w:tblGrid>
      <w:tr w:rsidR="00140F05" w:rsidRPr="00F746B6" w14:paraId="0F96607F" w14:textId="77777777" w:rsidTr="00140F05">
        <w:tc>
          <w:tcPr>
            <w:tcW w:w="0" w:type="auto"/>
            <w:hideMark/>
          </w:tcPr>
          <w:p w14:paraId="12EE3E5A" w14:textId="77777777" w:rsidR="00140F05" w:rsidRPr="00F746B6" w:rsidRDefault="00140F05" w:rsidP="000151FE">
            <w:pPr>
              <w:spacing w:before="100" w:beforeAutospacing="1" w:after="100" w:afterAutospacing="1" w:line="278" w:lineRule="auto"/>
              <w:jc w:val="both"/>
              <w:rPr>
                <w:rFonts w:ascii="Garamond" w:hAnsi="Garamond"/>
                <w:b/>
                <w:bCs/>
                <w:sz w:val="20"/>
                <w:szCs w:val="20"/>
                <w:lang w:val="en-GB"/>
              </w:rPr>
            </w:pPr>
            <w:r w:rsidRPr="00F746B6">
              <w:rPr>
                <w:rFonts w:ascii="Garamond" w:hAnsi="Garamond"/>
                <w:b/>
                <w:bCs/>
                <w:sz w:val="20"/>
                <w:szCs w:val="20"/>
                <w:lang w:val="en-GB"/>
              </w:rPr>
              <w:t>Experiment</w:t>
            </w:r>
          </w:p>
        </w:tc>
        <w:tc>
          <w:tcPr>
            <w:tcW w:w="0" w:type="auto"/>
            <w:hideMark/>
          </w:tcPr>
          <w:p w14:paraId="58DAC741" w14:textId="77777777" w:rsidR="00140F05" w:rsidRPr="00F746B6" w:rsidRDefault="00140F05" w:rsidP="000151FE">
            <w:pPr>
              <w:spacing w:before="100" w:beforeAutospacing="1" w:after="100" w:afterAutospacing="1" w:line="278" w:lineRule="auto"/>
              <w:jc w:val="both"/>
              <w:rPr>
                <w:rFonts w:ascii="Garamond" w:hAnsi="Garamond"/>
                <w:b/>
                <w:bCs/>
                <w:sz w:val="20"/>
                <w:szCs w:val="20"/>
                <w:lang w:val="en-GB"/>
              </w:rPr>
            </w:pPr>
            <w:r w:rsidRPr="00F746B6">
              <w:rPr>
                <w:rFonts w:ascii="Garamond" w:hAnsi="Garamond"/>
                <w:b/>
                <w:bCs/>
                <w:sz w:val="20"/>
                <w:szCs w:val="20"/>
                <w:lang w:val="en-GB"/>
              </w:rPr>
              <w:t>Contribution to Thesis Objectives</w:t>
            </w:r>
          </w:p>
        </w:tc>
        <w:tc>
          <w:tcPr>
            <w:tcW w:w="0" w:type="auto"/>
            <w:hideMark/>
          </w:tcPr>
          <w:p w14:paraId="5C1AEA2B" w14:textId="77777777" w:rsidR="00140F05" w:rsidRPr="00F746B6" w:rsidRDefault="00140F05" w:rsidP="000151FE">
            <w:pPr>
              <w:spacing w:before="100" w:beforeAutospacing="1" w:after="100" w:afterAutospacing="1" w:line="278" w:lineRule="auto"/>
              <w:jc w:val="both"/>
              <w:rPr>
                <w:rFonts w:ascii="Garamond" w:hAnsi="Garamond"/>
                <w:b/>
                <w:bCs/>
                <w:sz w:val="20"/>
                <w:szCs w:val="20"/>
                <w:lang w:val="en-GB"/>
              </w:rPr>
            </w:pPr>
            <w:r w:rsidRPr="00F746B6">
              <w:rPr>
                <w:rFonts w:ascii="Garamond" w:hAnsi="Garamond"/>
                <w:b/>
                <w:bCs/>
                <w:sz w:val="20"/>
                <w:szCs w:val="20"/>
                <w:lang w:val="en-GB"/>
              </w:rPr>
              <w:t>Data Integration</w:t>
            </w:r>
          </w:p>
        </w:tc>
      </w:tr>
      <w:tr w:rsidR="00140F05" w:rsidRPr="00F746B6" w14:paraId="6089B5C2" w14:textId="77777777" w:rsidTr="00140F05">
        <w:tc>
          <w:tcPr>
            <w:tcW w:w="0" w:type="auto"/>
            <w:hideMark/>
          </w:tcPr>
          <w:p w14:paraId="170098B1" w14:textId="77777777" w:rsidR="00140F05" w:rsidRPr="00F746B6" w:rsidRDefault="00140F05" w:rsidP="000151FE">
            <w:pPr>
              <w:spacing w:before="100" w:beforeAutospacing="1" w:after="100" w:afterAutospacing="1" w:line="278" w:lineRule="auto"/>
              <w:jc w:val="both"/>
              <w:rPr>
                <w:rFonts w:ascii="Garamond" w:hAnsi="Garamond"/>
                <w:sz w:val="20"/>
                <w:szCs w:val="20"/>
                <w:lang w:val="en-GB"/>
              </w:rPr>
            </w:pPr>
            <w:r w:rsidRPr="00F746B6">
              <w:rPr>
                <w:rFonts w:ascii="Garamond" w:hAnsi="Garamond"/>
                <w:b/>
                <w:bCs/>
                <w:sz w:val="20"/>
                <w:szCs w:val="20"/>
                <w:lang w:val="en-GB"/>
              </w:rPr>
              <w:t>1. Socioeconomic survey</w:t>
            </w:r>
          </w:p>
        </w:tc>
        <w:tc>
          <w:tcPr>
            <w:tcW w:w="0" w:type="auto"/>
            <w:hideMark/>
          </w:tcPr>
          <w:p w14:paraId="0CEE8CC1" w14:textId="77777777" w:rsidR="00140F05" w:rsidRPr="00F746B6" w:rsidRDefault="00140F05" w:rsidP="000151FE">
            <w:pPr>
              <w:spacing w:before="100" w:beforeAutospacing="1" w:after="100" w:afterAutospacing="1" w:line="278" w:lineRule="auto"/>
              <w:jc w:val="both"/>
              <w:rPr>
                <w:rFonts w:ascii="Garamond" w:hAnsi="Garamond"/>
                <w:sz w:val="20"/>
                <w:szCs w:val="20"/>
                <w:lang w:val="en-GB"/>
              </w:rPr>
            </w:pPr>
            <w:r w:rsidRPr="00F746B6">
              <w:rPr>
                <w:rFonts w:ascii="Garamond" w:hAnsi="Garamond"/>
                <w:sz w:val="20"/>
                <w:szCs w:val="20"/>
                <w:lang w:val="en-GB"/>
              </w:rPr>
              <w:t>Establishes conservation priorities; validates field applicability context; documents DPP traditional use knowledge</w:t>
            </w:r>
          </w:p>
        </w:tc>
        <w:tc>
          <w:tcPr>
            <w:tcW w:w="0" w:type="auto"/>
            <w:hideMark/>
          </w:tcPr>
          <w:p w14:paraId="369A8269" w14:textId="77777777" w:rsidR="00140F05" w:rsidRPr="00F746B6" w:rsidRDefault="00140F05" w:rsidP="000151FE">
            <w:pPr>
              <w:spacing w:before="100" w:beforeAutospacing="1" w:after="100" w:afterAutospacing="1" w:line="278" w:lineRule="auto"/>
              <w:jc w:val="both"/>
              <w:rPr>
                <w:rFonts w:ascii="Garamond" w:hAnsi="Garamond"/>
                <w:sz w:val="20"/>
                <w:szCs w:val="20"/>
                <w:lang w:val="en-GB"/>
              </w:rPr>
            </w:pPr>
            <w:r w:rsidRPr="00F746B6">
              <w:rPr>
                <w:rFonts w:ascii="Garamond" w:hAnsi="Garamond"/>
                <w:sz w:val="20"/>
                <w:szCs w:val="20"/>
                <w:lang w:val="en-GB"/>
              </w:rPr>
              <w:t>Informs interpretation of technical findings; identifies target breeds and keeper needs</w:t>
            </w:r>
          </w:p>
        </w:tc>
      </w:tr>
      <w:tr w:rsidR="00140F05" w:rsidRPr="00F746B6" w14:paraId="711F0C48" w14:textId="77777777" w:rsidTr="00140F05">
        <w:tc>
          <w:tcPr>
            <w:tcW w:w="0" w:type="auto"/>
            <w:hideMark/>
          </w:tcPr>
          <w:p w14:paraId="1E0EB57C" w14:textId="1BFFEA63" w:rsidR="00140F05" w:rsidRPr="00F746B6" w:rsidRDefault="00140F05" w:rsidP="000151FE">
            <w:pPr>
              <w:spacing w:before="100" w:beforeAutospacing="1" w:after="100" w:afterAutospacing="1" w:line="278" w:lineRule="auto"/>
              <w:jc w:val="both"/>
              <w:rPr>
                <w:rFonts w:ascii="Garamond" w:hAnsi="Garamond"/>
                <w:sz w:val="20"/>
                <w:szCs w:val="20"/>
                <w:lang w:val="en-GB"/>
              </w:rPr>
            </w:pPr>
            <w:r w:rsidRPr="00F746B6">
              <w:rPr>
                <w:rFonts w:ascii="Garamond" w:hAnsi="Garamond"/>
                <w:b/>
                <w:bCs/>
                <w:sz w:val="20"/>
                <w:szCs w:val="20"/>
                <w:lang w:val="en-GB"/>
              </w:rPr>
              <w:t xml:space="preserve">2. Phytochemical </w:t>
            </w:r>
            <w:r w:rsidR="00280694" w:rsidRPr="00F746B6">
              <w:rPr>
                <w:rFonts w:ascii="Garamond" w:hAnsi="Garamond"/>
                <w:b/>
                <w:bCs/>
                <w:sz w:val="20"/>
                <w:szCs w:val="20"/>
                <w:lang w:val="en-GB"/>
              </w:rPr>
              <w:t>characterisation</w:t>
            </w:r>
          </w:p>
        </w:tc>
        <w:tc>
          <w:tcPr>
            <w:tcW w:w="0" w:type="auto"/>
            <w:hideMark/>
          </w:tcPr>
          <w:p w14:paraId="35552001" w14:textId="77777777" w:rsidR="00140F05" w:rsidRPr="00F746B6" w:rsidRDefault="00140F05" w:rsidP="000151FE">
            <w:pPr>
              <w:spacing w:before="100" w:beforeAutospacing="1" w:after="100" w:afterAutospacing="1" w:line="278" w:lineRule="auto"/>
              <w:jc w:val="both"/>
              <w:rPr>
                <w:rFonts w:ascii="Garamond" w:hAnsi="Garamond"/>
                <w:sz w:val="20"/>
                <w:szCs w:val="20"/>
                <w:lang w:val="en-GB"/>
              </w:rPr>
            </w:pPr>
            <w:r w:rsidRPr="00F746B6">
              <w:rPr>
                <w:rFonts w:ascii="Garamond" w:hAnsi="Garamond"/>
                <w:sz w:val="20"/>
                <w:szCs w:val="20"/>
                <w:lang w:val="en-GB"/>
              </w:rPr>
              <w:t>Validates DPP biochemical composition; confirms antioxidant capacity; establishes batch quality standards</w:t>
            </w:r>
          </w:p>
        </w:tc>
        <w:tc>
          <w:tcPr>
            <w:tcW w:w="0" w:type="auto"/>
            <w:hideMark/>
          </w:tcPr>
          <w:p w14:paraId="1DB9848E" w14:textId="140B5419" w:rsidR="00140F05" w:rsidRPr="00F746B6" w:rsidRDefault="00140F05" w:rsidP="000151FE">
            <w:pPr>
              <w:spacing w:before="100" w:beforeAutospacing="1" w:after="100" w:afterAutospacing="1" w:line="278" w:lineRule="auto"/>
              <w:jc w:val="both"/>
              <w:rPr>
                <w:rFonts w:ascii="Garamond" w:hAnsi="Garamond"/>
                <w:sz w:val="20"/>
                <w:szCs w:val="20"/>
                <w:lang w:val="en-GB"/>
              </w:rPr>
            </w:pPr>
            <w:r w:rsidRPr="00F746B6">
              <w:rPr>
                <w:rFonts w:ascii="Garamond" w:hAnsi="Garamond"/>
                <w:sz w:val="20"/>
                <w:szCs w:val="20"/>
                <w:lang w:val="en-GB"/>
              </w:rPr>
              <w:t xml:space="preserve">Provides </w:t>
            </w:r>
            <w:r w:rsidR="00280694" w:rsidRPr="00F746B6">
              <w:rPr>
                <w:rFonts w:ascii="Garamond" w:hAnsi="Garamond"/>
                <w:sz w:val="20"/>
                <w:szCs w:val="20"/>
                <w:lang w:val="en-GB"/>
              </w:rPr>
              <w:t xml:space="preserve">a </w:t>
            </w:r>
            <w:r w:rsidRPr="00F746B6">
              <w:rPr>
                <w:rFonts w:ascii="Garamond" w:hAnsi="Garamond"/>
                <w:sz w:val="20"/>
                <w:szCs w:val="20"/>
                <w:lang w:val="en-GB"/>
              </w:rPr>
              <w:t xml:space="preserve">mechanistic rationale for observed effects; enables </w:t>
            </w:r>
            <w:r w:rsidR="00280694" w:rsidRPr="00F746B6">
              <w:rPr>
                <w:rFonts w:ascii="Garamond" w:hAnsi="Garamond"/>
                <w:sz w:val="20"/>
                <w:szCs w:val="20"/>
                <w:lang w:val="en-GB"/>
              </w:rPr>
              <w:t>standardisation</w:t>
            </w:r>
          </w:p>
        </w:tc>
      </w:tr>
      <w:tr w:rsidR="00140F05" w:rsidRPr="00F746B6" w14:paraId="6FCD04AB" w14:textId="77777777" w:rsidTr="00140F05">
        <w:tc>
          <w:tcPr>
            <w:tcW w:w="0" w:type="auto"/>
            <w:hideMark/>
          </w:tcPr>
          <w:p w14:paraId="4F27180C" w14:textId="77777777" w:rsidR="00140F05" w:rsidRPr="00F746B6" w:rsidRDefault="00140F05" w:rsidP="000151FE">
            <w:pPr>
              <w:spacing w:before="100" w:beforeAutospacing="1" w:after="100" w:afterAutospacing="1" w:line="278" w:lineRule="auto"/>
              <w:jc w:val="both"/>
              <w:rPr>
                <w:rFonts w:ascii="Garamond" w:hAnsi="Garamond"/>
                <w:sz w:val="20"/>
                <w:szCs w:val="20"/>
                <w:lang w:val="en-GB"/>
              </w:rPr>
            </w:pPr>
            <w:r w:rsidRPr="00F746B6">
              <w:rPr>
                <w:rFonts w:ascii="Garamond" w:hAnsi="Garamond"/>
                <w:b/>
                <w:bCs/>
                <w:sz w:val="20"/>
                <w:szCs w:val="20"/>
                <w:lang w:val="en-GB"/>
              </w:rPr>
              <w:t>3. Sperm preservation trial</w:t>
            </w:r>
          </w:p>
        </w:tc>
        <w:tc>
          <w:tcPr>
            <w:tcW w:w="0" w:type="auto"/>
            <w:hideMark/>
          </w:tcPr>
          <w:p w14:paraId="29D261CC" w14:textId="77777777" w:rsidR="00140F05" w:rsidRPr="00F746B6" w:rsidRDefault="00140F05" w:rsidP="000151FE">
            <w:pPr>
              <w:spacing w:before="100" w:beforeAutospacing="1" w:after="100" w:afterAutospacing="1" w:line="278" w:lineRule="auto"/>
              <w:jc w:val="both"/>
              <w:rPr>
                <w:rFonts w:ascii="Garamond" w:hAnsi="Garamond"/>
                <w:sz w:val="20"/>
                <w:szCs w:val="20"/>
                <w:lang w:val="en-GB"/>
              </w:rPr>
            </w:pPr>
            <w:r w:rsidRPr="00F746B6">
              <w:rPr>
                <w:rFonts w:ascii="Garamond" w:hAnsi="Garamond"/>
                <w:sz w:val="20"/>
                <w:szCs w:val="20"/>
                <w:lang w:val="en-GB"/>
              </w:rPr>
              <w:t>Directly tests conservative effect; evaluates dose-response; validates field-applicable protocol</w:t>
            </w:r>
          </w:p>
        </w:tc>
        <w:tc>
          <w:tcPr>
            <w:tcW w:w="0" w:type="auto"/>
            <w:hideMark/>
          </w:tcPr>
          <w:p w14:paraId="06FE95FF" w14:textId="413A8FB1" w:rsidR="00140F05" w:rsidRPr="00F746B6" w:rsidRDefault="00140F05" w:rsidP="000151FE">
            <w:pPr>
              <w:spacing w:before="100" w:beforeAutospacing="1" w:after="100" w:afterAutospacing="1" w:line="278" w:lineRule="auto"/>
              <w:jc w:val="both"/>
              <w:rPr>
                <w:rFonts w:ascii="Garamond" w:hAnsi="Garamond"/>
                <w:sz w:val="20"/>
                <w:szCs w:val="20"/>
                <w:lang w:val="en-GB"/>
              </w:rPr>
            </w:pPr>
            <w:r w:rsidRPr="00F746B6">
              <w:rPr>
                <w:rFonts w:ascii="Garamond" w:hAnsi="Garamond"/>
                <w:sz w:val="20"/>
                <w:szCs w:val="20"/>
                <w:lang w:val="en-GB"/>
              </w:rPr>
              <w:t xml:space="preserve">Core evidence for thesis claims; generates data for </w:t>
            </w:r>
            <w:r w:rsidR="00280694" w:rsidRPr="00F746B6">
              <w:rPr>
                <w:rFonts w:ascii="Garamond" w:hAnsi="Garamond"/>
                <w:sz w:val="20"/>
                <w:szCs w:val="20"/>
                <w:lang w:val="en-GB"/>
              </w:rPr>
              <w:t>optimisation</w:t>
            </w:r>
          </w:p>
        </w:tc>
      </w:tr>
    </w:tbl>
    <w:p w14:paraId="2738F455" w14:textId="1D55CA0A"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lang w:val="en-GB"/>
        </w:rPr>
        <w:t xml:space="preserve">The </w:t>
      </w:r>
      <w:r w:rsidRPr="005768C8">
        <w:rPr>
          <w:rFonts w:ascii="Garamond" w:hAnsi="Garamond"/>
          <w:b/>
          <w:bCs/>
          <w:lang w:val="en-GB"/>
        </w:rPr>
        <w:t>sequential structure</w:t>
      </w:r>
      <w:r w:rsidRPr="005768C8">
        <w:rPr>
          <w:rFonts w:ascii="Garamond" w:hAnsi="Garamond"/>
          <w:lang w:val="en-GB"/>
        </w:rPr>
        <w:t xml:space="preserve">—context → </w:t>
      </w:r>
      <w:r w:rsidR="00280694">
        <w:rPr>
          <w:rFonts w:ascii="Garamond" w:hAnsi="Garamond"/>
          <w:lang w:val="en-GB"/>
        </w:rPr>
        <w:t>characterisation</w:t>
      </w:r>
      <w:r w:rsidRPr="005768C8">
        <w:rPr>
          <w:rFonts w:ascii="Garamond" w:hAnsi="Garamond"/>
          <w:lang w:val="en-GB"/>
        </w:rPr>
        <w:t xml:space="preserve"> → efficacy—ensures that Experiment 3 findings are grounded in validated material (Experiment 2) and relevant conservation needs (Experiment 1), strengthening both internal validity and external applicability.</w:t>
      </w:r>
    </w:p>
    <w:p w14:paraId="4F021D0C" w14:textId="77777777" w:rsidR="00140F05" w:rsidRPr="005768C8" w:rsidRDefault="00140F05" w:rsidP="000151FE">
      <w:pPr>
        <w:spacing w:before="100" w:beforeAutospacing="1" w:after="100" w:afterAutospacing="1"/>
        <w:jc w:val="both"/>
        <w:rPr>
          <w:rFonts w:ascii="Garamond" w:hAnsi="Garamond"/>
          <w:b/>
          <w:bCs/>
          <w:lang w:val="en-GB"/>
        </w:rPr>
      </w:pPr>
      <w:r w:rsidRPr="005768C8">
        <w:rPr>
          <w:rFonts w:ascii="Garamond" w:hAnsi="Garamond"/>
          <w:b/>
          <w:bCs/>
          <w:lang w:val="en-GB"/>
        </w:rPr>
        <w:t>3.6 Limitations and Methodological Considerations</w:t>
      </w:r>
    </w:p>
    <w:p w14:paraId="1F2129BB" w14:textId="77777777" w:rsidR="00140F05" w:rsidRPr="005768C8" w:rsidRDefault="00140F05" w:rsidP="000151FE">
      <w:pPr>
        <w:spacing w:before="100" w:beforeAutospacing="1" w:after="100" w:afterAutospacing="1"/>
        <w:jc w:val="both"/>
        <w:rPr>
          <w:rFonts w:ascii="Garamond" w:hAnsi="Garamond"/>
          <w:lang w:val="en-GB"/>
        </w:rPr>
      </w:pPr>
      <w:r w:rsidRPr="005768C8">
        <w:rPr>
          <w:rFonts w:ascii="Garamond" w:hAnsi="Garamond"/>
          <w:lang w:val="en-GB"/>
        </w:rPr>
        <w:t>Several limitations should be acknowledged:</w:t>
      </w:r>
    </w:p>
    <w:p w14:paraId="564AB2A4" w14:textId="77777777" w:rsidR="00140F05" w:rsidRPr="005768C8" w:rsidRDefault="00140F05" w:rsidP="000151FE">
      <w:pPr>
        <w:numPr>
          <w:ilvl w:val="0"/>
          <w:numId w:val="4"/>
        </w:numPr>
        <w:spacing w:before="100" w:beforeAutospacing="1" w:after="100" w:afterAutospacing="1"/>
        <w:jc w:val="both"/>
        <w:rPr>
          <w:rFonts w:ascii="Garamond" w:hAnsi="Garamond"/>
          <w:lang w:val="en-GB"/>
        </w:rPr>
      </w:pPr>
      <w:r w:rsidRPr="005768C8">
        <w:rPr>
          <w:rFonts w:ascii="Garamond" w:hAnsi="Garamond"/>
          <w:b/>
          <w:bCs/>
          <w:lang w:val="en-GB"/>
        </w:rPr>
        <w:t>Sample size in Experiment 3</w:t>
      </w:r>
      <w:r w:rsidRPr="005768C8">
        <w:rPr>
          <w:rFonts w:ascii="Garamond" w:hAnsi="Garamond"/>
          <w:lang w:val="en-GB"/>
        </w:rPr>
        <w:t xml:space="preserve"> (n=5 rams) provides adequate power for detecting large effects but may miss subtle treatment differences; replication across seasons and breeds would strengthen generalizability.</w:t>
      </w:r>
    </w:p>
    <w:p w14:paraId="0AB410E7" w14:textId="77777777" w:rsidR="00140F05" w:rsidRPr="005768C8" w:rsidRDefault="00140F05" w:rsidP="000151FE">
      <w:pPr>
        <w:numPr>
          <w:ilvl w:val="0"/>
          <w:numId w:val="4"/>
        </w:numPr>
        <w:spacing w:before="100" w:beforeAutospacing="1" w:after="100" w:afterAutospacing="1"/>
        <w:jc w:val="both"/>
        <w:rPr>
          <w:rFonts w:ascii="Garamond" w:hAnsi="Garamond"/>
          <w:lang w:val="en-GB"/>
        </w:rPr>
      </w:pPr>
      <w:r w:rsidRPr="005768C8">
        <w:rPr>
          <w:rFonts w:ascii="Garamond" w:hAnsi="Garamond"/>
          <w:b/>
          <w:bCs/>
          <w:lang w:val="en-GB"/>
        </w:rPr>
        <w:lastRenderedPageBreak/>
        <w:t>Chilled storage vs. cryopreservation</w:t>
      </w:r>
      <w:r w:rsidRPr="005768C8">
        <w:rPr>
          <w:rFonts w:ascii="Garamond" w:hAnsi="Garamond"/>
          <w:lang w:val="en-GB"/>
        </w:rPr>
        <w:t>: The 4°C storage protocol, while field-relevant, does not test DPP effects on freeze-thaw survival; this represents a priority for follow-up research.</w:t>
      </w:r>
    </w:p>
    <w:p w14:paraId="38F920CC" w14:textId="37F9B70B" w:rsidR="00140F05" w:rsidRPr="005768C8" w:rsidRDefault="00140F05" w:rsidP="000151FE">
      <w:pPr>
        <w:numPr>
          <w:ilvl w:val="0"/>
          <w:numId w:val="4"/>
        </w:numPr>
        <w:spacing w:before="100" w:beforeAutospacing="1" w:after="100" w:afterAutospacing="1"/>
        <w:jc w:val="both"/>
        <w:rPr>
          <w:rFonts w:ascii="Garamond" w:hAnsi="Garamond"/>
          <w:lang w:val="en-GB"/>
        </w:rPr>
      </w:pPr>
      <w:r w:rsidRPr="005768C8">
        <w:rPr>
          <w:rFonts w:ascii="Garamond" w:hAnsi="Garamond"/>
          <w:b/>
          <w:bCs/>
          <w:lang w:val="en-GB"/>
        </w:rPr>
        <w:t>Single DPP source</w:t>
      </w:r>
      <w:r w:rsidRPr="005768C8">
        <w:rPr>
          <w:rFonts w:ascii="Garamond" w:hAnsi="Garamond"/>
          <w:lang w:val="en-GB"/>
        </w:rPr>
        <w:t xml:space="preserve">: Pollen from one region (Hamraia) was </w:t>
      </w:r>
      <w:r w:rsidR="00280694">
        <w:rPr>
          <w:rFonts w:ascii="Garamond" w:hAnsi="Garamond"/>
          <w:lang w:val="en-GB"/>
        </w:rPr>
        <w:t>characterised</w:t>
      </w:r>
      <w:r w:rsidRPr="005768C8">
        <w:rPr>
          <w:rFonts w:ascii="Garamond" w:hAnsi="Garamond"/>
          <w:lang w:val="en-GB"/>
        </w:rPr>
        <w:t>; geographic variation in composition may affect reproducibility.</w:t>
      </w:r>
    </w:p>
    <w:p w14:paraId="486BF266" w14:textId="6BC4D473" w:rsidR="00140F05" w:rsidRPr="005768C8" w:rsidRDefault="00140F05" w:rsidP="000151FE">
      <w:pPr>
        <w:numPr>
          <w:ilvl w:val="0"/>
          <w:numId w:val="4"/>
        </w:numPr>
        <w:spacing w:before="100" w:beforeAutospacing="1" w:after="100" w:afterAutospacing="1"/>
        <w:jc w:val="both"/>
        <w:rPr>
          <w:rFonts w:ascii="Garamond" w:hAnsi="Garamond"/>
          <w:lang w:val="en-GB"/>
        </w:rPr>
      </w:pPr>
      <w:r w:rsidRPr="005768C8">
        <w:rPr>
          <w:rFonts w:ascii="Garamond" w:hAnsi="Garamond"/>
          <w:b/>
          <w:bCs/>
          <w:lang w:val="en-GB"/>
        </w:rPr>
        <w:t>Limited assessment endpoints</w:t>
      </w:r>
      <w:r w:rsidRPr="005768C8">
        <w:rPr>
          <w:rFonts w:ascii="Garamond" w:hAnsi="Garamond"/>
          <w:lang w:val="en-GB"/>
        </w:rPr>
        <w:t>: Motility and membrane integrity were evaluated; comprehensive hierarchical assessment</w:t>
      </w:r>
      <w:r w:rsidR="00280694">
        <w:rPr>
          <w:rFonts w:ascii="Garamond" w:hAnsi="Garamond"/>
          <w:lang w:val="en-GB"/>
        </w:rPr>
        <w:t>,</w:t>
      </w:r>
      <w:r w:rsidRPr="005768C8">
        <w:rPr>
          <w:rFonts w:ascii="Garamond" w:hAnsi="Garamond"/>
          <w:lang w:val="en-GB"/>
        </w:rPr>
        <w:t xml:space="preserve"> including oxidative status, mitochondrial function, and </w:t>
      </w:r>
      <w:r w:rsidR="00280694">
        <w:rPr>
          <w:rFonts w:ascii="Garamond" w:hAnsi="Garamond"/>
          <w:lang w:val="en-GB"/>
        </w:rPr>
        <w:t>fertilising</w:t>
      </w:r>
      <w:r w:rsidRPr="005768C8">
        <w:rPr>
          <w:rFonts w:ascii="Garamond" w:hAnsi="Garamond"/>
          <w:lang w:val="en-GB"/>
        </w:rPr>
        <w:t xml:space="preserve"> capacity</w:t>
      </w:r>
      <w:r w:rsidR="00280694">
        <w:rPr>
          <w:rFonts w:ascii="Garamond" w:hAnsi="Garamond"/>
          <w:lang w:val="en-GB"/>
        </w:rPr>
        <w:t>,</w:t>
      </w:r>
      <w:r w:rsidRPr="005768C8">
        <w:rPr>
          <w:rFonts w:ascii="Garamond" w:hAnsi="Garamond"/>
          <w:lang w:val="en-GB"/>
        </w:rPr>
        <w:t xml:space="preserve"> requires expanded methodology.</w:t>
      </w:r>
    </w:p>
    <w:p w14:paraId="703F070C" w14:textId="77777777" w:rsidR="00F13D00" w:rsidRPr="005768C8" w:rsidRDefault="00F13D00" w:rsidP="000151FE">
      <w:pPr>
        <w:spacing w:before="100" w:beforeAutospacing="1" w:after="100" w:afterAutospacing="1"/>
        <w:jc w:val="both"/>
        <w:rPr>
          <w:rFonts w:ascii="Garamond" w:hAnsi="Garamond"/>
          <w:lang w:val="en-GB"/>
        </w:rPr>
      </w:pPr>
    </w:p>
    <w:sectPr w:rsidR="00F13D00" w:rsidRPr="005768C8" w:rsidSect="00881CA4">
      <w:pgSz w:w="11906" w:h="16838" w:code="9"/>
      <w:pgMar w:top="1134" w:right="1134"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delkader Atia" w:date="2026-03-03T23:28:00Z" w:initials="AA">
    <w:p w14:paraId="5B1F6396" w14:textId="7D7B70F8" w:rsidR="005848C1" w:rsidRDefault="005848C1">
      <w:pPr>
        <w:pStyle w:val="CommentText"/>
      </w:pPr>
      <w:r>
        <w:rPr>
          <w:rStyle w:val="CommentReference"/>
        </w:rPr>
        <w:annotationRef/>
      </w:r>
      <w:r>
        <w:t xml:space="preserve">The equation </w:t>
      </w:r>
    </w:p>
  </w:comment>
  <w:comment w:id="1" w:author="Abdelkader Atia" w:date="2026-03-03T23:42:00Z" w:initials="AA">
    <w:p w14:paraId="081611C7" w14:textId="16FE5D10" w:rsidR="0003699A" w:rsidRDefault="0003699A">
      <w:pPr>
        <w:pStyle w:val="CommentText"/>
      </w:pPr>
      <w:r>
        <w:rPr>
          <w:rStyle w:val="CommentReference"/>
        </w:rPr>
        <w:annotationRef/>
      </w:r>
      <w:r>
        <w:t xml:space="preserve">Use </w:t>
      </w:r>
      <w:proofErr w:type="spellStart"/>
      <w:r>
        <w:t>zetero</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F6396" w15:done="0"/>
  <w15:commentEx w15:paraId="081611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FBC837" w16cex:dateUtc="2026-03-03T22:28:00Z"/>
  <w16cex:commentExtensible w16cex:durableId="20C0CDD0" w16cex:dateUtc="2026-03-03T2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F6396" w16cid:durableId="79FBC837"/>
  <w16cid:commentId w16cid:paraId="081611C7" w16cid:durableId="20C0CD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830"/>
    <w:multiLevelType w:val="multilevel"/>
    <w:tmpl w:val="BEF8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77F27"/>
    <w:multiLevelType w:val="multilevel"/>
    <w:tmpl w:val="ED16E6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34F70"/>
    <w:multiLevelType w:val="multilevel"/>
    <w:tmpl w:val="3E2CA4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F56B5"/>
    <w:multiLevelType w:val="multilevel"/>
    <w:tmpl w:val="B5ACF9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4D64D8"/>
    <w:multiLevelType w:val="multilevel"/>
    <w:tmpl w:val="B89CD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F6CB9"/>
    <w:multiLevelType w:val="multilevel"/>
    <w:tmpl w:val="7C4E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CB6D30"/>
    <w:multiLevelType w:val="multilevel"/>
    <w:tmpl w:val="56DCA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954186">
    <w:abstractNumId w:val="0"/>
  </w:num>
  <w:num w:numId="2" w16cid:durableId="1661545284">
    <w:abstractNumId w:val="5"/>
  </w:num>
  <w:num w:numId="3" w16cid:durableId="275599895">
    <w:abstractNumId w:val="3"/>
  </w:num>
  <w:num w:numId="4" w16cid:durableId="1364788517">
    <w:abstractNumId w:val="6"/>
  </w:num>
  <w:num w:numId="5" w16cid:durableId="565336404">
    <w:abstractNumId w:val="2"/>
  </w:num>
  <w:num w:numId="6" w16cid:durableId="1980722458">
    <w:abstractNumId w:val="4"/>
  </w:num>
  <w:num w:numId="7" w16cid:durableId="16356019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delkader Atia">
    <w15:presenceInfo w15:providerId="Windows Live" w15:userId="5593cad1bfc9d8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CA4"/>
    <w:rsid w:val="00001E7D"/>
    <w:rsid w:val="00006123"/>
    <w:rsid w:val="00007A39"/>
    <w:rsid w:val="00007E4C"/>
    <w:rsid w:val="000151FE"/>
    <w:rsid w:val="00034C40"/>
    <w:rsid w:val="0003699A"/>
    <w:rsid w:val="000373AD"/>
    <w:rsid w:val="000378F6"/>
    <w:rsid w:val="00043CF8"/>
    <w:rsid w:val="000465A5"/>
    <w:rsid w:val="00051C76"/>
    <w:rsid w:val="000525A4"/>
    <w:rsid w:val="000544F8"/>
    <w:rsid w:val="00063254"/>
    <w:rsid w:val="00064459"/>
    <w:rsid w:val="000702A7"/>
    <w:rsid w:val="0007123E"/>
    <w:rsid w:val="000721B3"/>
    <w:rsid w:val="000743F4"/>
    <w:rsid w:val="00074AD4"/>
    <w:rsid w:val="00074E0A"/>
    <w:rsid w:val="0008143A"/>
    <w:rsid w:val="00081506"/>
    <w:rsid w:val="00082A17"/>
    <w:rsid w:val="00083737"/>
    <w:rsid w:val="00086F1F"/>
    <w:rsid w:val="00090705"/>
    <w:rsid w:val="00091A84"/>
    <w:rsid w:val="000939F5"/>
    <w:rsid w:val="000A08C3"/>
    <w:rsid w:val="000A2980"/>
    <w:rsid w:val="000A5BF7"/>
    <w:rsid w:val="000A6625"/>
    <w:rsid w:val="000B0538"/>
    <w:rsid w:val="000B76EA"/>
    <w:rsid w:val="000C7C01"/>
    <w:rsid w:val="000D1DF2"/>
    <w:rsid w:val="000D3641"/>
    <w:rsid w:val="000D4472"/>
    <w:rsid w:val="000D5AC6"/>
    <w:rsid w:val="000E0703"/>
    <w:rsid w:val="000E55FA"/>
    <w:rsid w:val="000F1EA6"/>
    <w:rsid w:val="000F5928"/>
    <w:rsid w:val="0010169C"/>
    <w:rsid w:val="0011399C"/>
    <w:rsid w:val="001218A0"/>
    <w:rsid w:val="001221D0"/>
    <w:rsid w:val="00124F48"/>
    <w:rsid w:val="00126E02"/>
    <w:rsid w:val="00131236"/>
    <w:rsid w:val="001327B3"/>
    <w:rsid w:val="0013479F"/>
    <w:rsid w:val="00135283"/>
    <w:rsid w:val="00135363"/>
    <w:rsid w:val="0014096C"/>
    <w:rsid w:val="00140F05"/>
    <w:rsid w:val="00142EE2"/>
    <w:rsid w:val="00143BE3"/>
    <w:rsid w:val="0014408C"/>
    <w:rsid w:val="00144F3F"/>
    <w:rsid w:val="00152A6C"/>
    <w:rsid w:val="00155CE3"/>
    <w:rsid w:val="001642EF"/>
    <w:rsid w:val="00167FA8"/>
    <w:rsid w:val="00172A69"/>
    <w:rsid w:val="00176FCE"/>
    <w:rsid w:val="0018104A"/>
    <w:rsid w:val="0018164D"/>
    <w:rsid w:val="001835F6"/>
    <w:rsid w:val="00183EC9"/>
    <w:rsid w:val="00187A5B"/>
    <w:rsid w:val="00193D2E"/>
    <w:rsid w:val="001A0841"/>
    <w:rsid w:val="001A52D1"/>
    <w:rsid w:val="001B0C0D"/>
    <w:rsid w:val="001B743C"/>
    <w:rsid w:val="001C3D50"/>
    <w:rsid w:val="001C42FD"/>
    <w:rsid w:val="001D3218"/>
    <w:rsid w:val="001D50D0"/>
    <w:rsid w:val="001E1DB6"/>
    <w:rsid w:val="001E29DE"/>
    <w:rsid w:val="001E3057"/>
    <w:rsid w:val="001E3D79"/>
    <w:rsid w:val="001E4004"/>
    <w:rsid w:val="001E4CC2"/>
    <w:rsid w:val="001F0ED6"/>
    <w:rsid w:val="001F5044"/>
    <w:rsid w:val="001F55B0"/>
    <w:rsid w:val="00200A99"/>
    <w:rsid w:val="00202F1D"/>
    <w:rsid w:val="00203626"/>
    <w:rsid w:val="00210E87"/>
    <w:rsid w:val="00213E91"/>
    <w:rsid w:val="00215828"/>
    <w:rsid w:val="00215843"/>
    <w:rsid w:val="00217064"/>
    <w:rsid w:val="002172D5"/>
    <w:rsid w:val="00223EAF"/>
    <w:rsid w:val="00234429"/>
    <w:rsid w:val="00234C94"/>
    <w:rsid w:val="002364C8"/>
    <w:rsid w:val="00253BD1"/>
    <w:rsid w:val="0026190D"/>
    <w:rsid w:val="00261B75"/>
    <w:rsid w:val="00261BCD"/>
    <w:rsid w:val="002645DA"/>
    <w:rsid w:val="0026736C"/>
    <w:rsid w:val="002716B2"/>
    <w:rsid w:val="00272819"/>
    <w:rsid w:val="002733E7"/>
    <w:rsid w:val="00280694"/>
    <w:rsid w:val="002835AD"/>
    <w:rsid w:val="00283778"/>
    <w:rsid w:val="00286C8D"/>
    <w:rsid w:val="00290617"/>
    <w:rsid w:val="00293ABB"/>
    <w:rsid w:val="002A41C5"/>
    <w:rsid w:val="002A5E84"/>
    <w:rsid w:val="002B3AC2"/>
    <w:rsid w:val="002C2F07"/>
    <w:rsid w:val="002C514A"/>
    <w:rsid w:val="002C51E7"/>
    <w:rsid w:val="002C76C9"/>
    <w:rsid w:val="002C7B04"/>
    <w:rsid w:val="002D37BC"/>
    <w:rsid w:val="002E13E7"/>
    <w:rsid w:val="002E620A"/>
    <w:rsid w:val="002E7F34"/>
    <w:rsid w:val="002F6D28"/>
    <w:rsid w:val="00311CDD"/>
    <w:rsid w:val="00312E4A"/>
    <w:rsid w:val="00315E4D"/>
    <w:rsid w:val="0032142A"/>
    <w:rsid w:val="00323B02"/>
    <w:rsid w:val="00324D72"/>
    <w:rsid w:val="003275E4"/>
    <w:rsid w:val="00327796"/>
    <w:rsid w:val="00327ACF"/>
    <w:rsid w:val="003300D7"/>
    <w:rsid w:val="0033068D"/>
    <w:rsid w:val="003317A8"/>
    <w:rsid w:val="00332DB4"/>
    <w:rsid w:val="00332EDF"/>
    <w:rsid w:val="0033435B"/>
    <w:rsid w:val="0033504E"/>
    <w:rsid w:val="00336A6E"/>
    <w:rsid w:val="003402E0"/>
    <w:rsid w:val="00340DB9"/>
    <w:rsid w:val="00352E74"/>
    <w:rsid w:val="0035393B"/>
    <w:rsid w:val="00355070"/>
    <w:rsid w:val="003610C3"/>
    <w:rsid w:val="00361340"/>
    <w:rsid w:val="00370F45"/>
    <w:rsid w:val="00372E75"/>
    <w:rsid w:val="00383372"/>
    <w:rsid w:val="00383640"/>
    <w:rsid w:val="003839BE"/>
    <w:rsid w:val="00384A6C"/>
    <w:rsid w:val="003857C2"/>
    <w:rsid w:val="003858B3"/>
    <w:rsid w:val="00394108"/>
    <w:rsid w:val="003A2E6D"/>
    <w:rsid w:val="003A4E90"/>
    <w:rsid w:val="003A5EDC"/>
    <w:rsid w:val="003B7FE5"/>
    <w:rsid w:val="003E06C8"/>
    <w:rsid w:val="003E38F2"/>
    <w:rsid w:val="003E4666"/>
    <w:rsid w:val="003F3C68"/>
    <w:rsid w:val="003F4834"/>
    <w:rsid w:val="003F7017"/>
    <w:rsid w:val="0040243A"/>
    <w:rsid w:val="0040294F"/>
    <w:rsid w:val="00404016"/>
    <w:rsid w:val="004121B3"/>
    <w:rsid w:val="004133D9"/>
    <w:rsid w:val="00414972"/>
    <w:rsid w:val="0042119B"/>
    <w:rsid w:val="004277E8"/>
    <w:rsid w:val="00427A9B"/>
    <w:rsid w:val="004376AD"/>
    <w:rsid w:val="00440946"/>
    <w:rsid w:val="00442DA5"/>
    <w:rsid w:val="00442F07"/>
    <w:rsid w:val="00443FC6"/>
    <w:rsid w:val="00452247"/>
    <w:rsid w:val="00455C13"/>
    <w:rsid w:val="00455C55"/>
    <w:rsid w:val="00460403"/>
    <w:rsid w:val="00472360"/>
    <w:rsid w:val="004834FA"/>
    <w:rsid w:val="00491A76"/>
    <w:rsid w:val="00492894"/>
    <w:rsid w:val="00493330"/>
    <w:rsid w:val="00493CAB"/>
    <w:rsid w:val="00496802"/>
    <w:rsid w:val="004968DB"/>
    <w:rsid w:val="004B29C2"/>
    <w:rsid w:val="004B701E"/>
    <w:rsid w:val="004C44D5"/>
    <w:rsid w:val="004C51C5"/>
    <w:rsid w:val="004C55AA"/>
    <w:rsid w:val="004D121A"/>
    <w:rsid w:val="004D12B7"/>
    <w:rsid w:val="004D443D"/>
    <w:rsid w:val="004D4C71"/>
    <w:rsid w:val="004E22FD"/>
    <w:rsid w:val="004F2E8A"/>
    <w:rsid w:val="004F5130"/>
    <w:rsid w:val="004F644A"/>
    <w:rsid w:val="00501D48"/>
    <w:rsid w:val="00503C47"/>
    <w:rsid w:val="00510999"/>
    <w:rsid w:val="00521857"/>
    <w:rsid w:val="0052306D"/>
    <w:rsid w:val="00524889"/>
    <w:rsid w:val="0052687D"/>
    <w:rsid w:val="00532F6A"/>
    <w:rsid w:val="00537BE3"/>
    <w:rsid w:val="00542337"/>
    <w:rsid w:val="00543D3E"/>
    <w:rsid w:val="00545F84"/>
    <w:rsid w:val="00545FD6"/>
    <w:rsid w:val="00547E00"/>
    <w:rsid w:val="0055019A"/>
    <w:rsid w:val="00554336"/>
    <w:rsid w:val="00556166"/>
    <w:rsid w:val="0055717D"/>
    <w:rsid w:val="0056165D"/>
    <w:rsid w:val="005631E3"/>
    <w:rsid w:val="00565A5B"/>
    <w:rsid w:val="00565AFB"/>
    <w:rsid w:val="0056789B"/>
    <w:rsid w:val="00570307"/>
    <w:rsid w:val="00572BC0"/>
    <w:rsid w:val="005768C8"/>
    <w:rsid w:val="00580B71"/>
    <w:rsid w:val="005848C1"/>
    <w:rsid w:val="00584E52"/>
    <w:rsid w:val="00584FDC"/>
    <w:rsid w:val="005852C2"/>
    <w:rsid w:val="0059310A"/>
    <w:rsid w:val="005939B9"/>
    <w:rsid w:val="0059564F"/>
    <w:rsid w:val="00596D3D"/>
    <w:rsid w:val="005A35DE"/>
    <w:rsid w:val="005B7153"/>
    <w:rsid w:val="005C17D7"/>
    <w:rsid w:val="005C1800"/>
    <w:rsid w:val="005C1AC4"/>
    <w:rsid w:val="005C1C14"/>
    <w:rsid w:val="005C31EB"/>
    <w:rsid w:val="005C3EC4"/>
    <w:rsid w:val="005D14A1"/>
    <w:rsid w:val="005D3687"/>
    <w:rsid w:val="005D73C9"/>
    <w:rsid w:val="005E34A9"/>
    <w:rsid w:val="005E3675"/>
    <w:rsid w:val="005E70DB"/>
    <w:rsid w:val="005F2683"/>
    <w:rsid w:val="005F5B9E"/>
    <w:rsid w:val="00605813"/>
    <w:rsid w:val="00606807"/>
    <w:rsid w:val="006139FE"/>
    <w:rsid w:val="00617A23"/>
    <w:rsid w:val="00622D89"/>
    <w:rsid w:val="00624A38"/>
    <w:rsid w:val="006311A1"/>
    <w:rsid w:val="006314E4"/>
    <w:rsid w:val="006341EE"/>
    <w:rsid w:val="00635D2E"/>
    <w:rsid w:val="006370AB"/>
    <w:rsid w:val="006417B3"/>
    <w:rsid w:val="00641E4A"/>
    <w:rsid w:val="00643678"/>
    <w:rsid w:val="0065754F"/>
    <w:rsid w:val="00665A03"/>
    <w:rsid w:val="00673AB7"/>
    <w:rsid w:val="00676DFD"/>
    <w:rsid w:val="00677B82"/>
    <w:rsid w:val="006811DE"/>
    <w:rsid w:val="00687E9E"/>
    <w:rsid w:val="0069018C"/>
    <w:rsid w:val="00690C36"/>
    <w:rsid w:val="00694574"/>
    <w:rsid w:val="006948E6"/>
    <w:rsid w:val="006A1277"/>
    <w:rsid w:val="006B28F5"/>
    <w:rsid w:val="006C02C6"/>
    <w:rsid w:val="006C07ED"/>
    <w:rsid w:val="006C5CAE"/>
    <w:rsid w:val="006C7EF4"/>
    <w:rsid w:val="006D0E13"/>
    <w:rsid w:val="006D2C98"/>
    <w:rsid w:val="006D4293"/>
    <w:rsid w:val="006D6646"/>
    <w:rsid w:val="006D6FA5"/>
    <w:rsid w:val="006E67AD"/>
    <w:rsid w:val="006F2BEC"/>
    <w:rsid w:val="006F4A30"/>
    <w:rsid w:val="006F5179"/>
    <w:rsid w:val="006F6B8A"/>
    <w:rsid w:val="0070129F"/>
    <w:rsid w:val="00705786"/>
    <w:rsid w:val="00706120"/>
    <w:rsid w:val="00707AFA"/>
    <w:rsid w:val="00707E64"/>
    <w:rsid w:val="007105E3"/>
    <w:rsid w:val="00711D5C"/>
    <w:rsid w:val="007134F4"/>
    <w:rsid w:val="00716212"/>
    <w:rsid w:val="007177BD"/>
    <w:rsid w:val="0072092F"/>
    <w:rsid w:val="007234F2"/>
    <w:rsid w:val="007238DD"/>
    <w:rsid w:val="00725F25"/>
    <w:rsid w:val="00725F62"/>
    <w:rsid w:val="00727B85"/>
    <w:rsid w:val="0073581D"/>
    <w:rsid w:val="00736D26"/>
    <w:rsid w:val="007373D1"/>
    <w:rsid w:val="007413C5"/>
    <w:rsid w:val="007425AB"/>
    <w:rsid w:val="00742E32"/>
    <w:rsid w:val="00750670"/>
    <w:rsid w:val="00751066"/>
    <w:rsid w:val="00751F3D"/>
    <w:rsid w:val="00756976"/>
    <w:rsid w:val="00762552"/>
    <w:rsid w:val="00763EDE"/>
    <w:rsid w:val="00764ABA"/>
    <w:rsid w:val="00765734"/>
    <w:rsid w:val="007801DB"/>
    <w:rsid w:val="00793277"/>
    <w:rsid w:val="007A03A9"/>
    <w:rsid w:val="007A2281"/>
    <w:rsid w:val="007A2B41"/>
    <w:rsid w:val="007A3841"/>
    <w:rsid w:val="007A6AAF"/>
    <w:rsid w:val="007B1145"/>
    <w:rsid w:val="007B4302"/>
    <w:rsid w:val="007B7C78"/>
    <w:rsid w:val="007D1291"/>
    <w:rsid w:val="007D75B5"/>
    <w:rsid w:val="007E6537"/>
    <w:rsid w:val="007F1098"/>
    <w:rsid w:val="007F2593"/>
    <w:rsid w:val="007F66E4"/>
    <w:rsid w:val="008022FB"/>
    <w:rsid w:val="00812B05"/>
    <w:rsid w:val="00815C82"/>
    <w:rsid w:val="008161C3"/>
    <w:rsid w:val="00821077"/>
    <w:rsid w:val="00833E24"/>
    <w:rsid w:val="00840084"/>
    <w:rsid w:val="00842C3B"/>
    <w:rsid w:val="00843CB3"/>
    <w:rsid w:val="0085632F"/>
    <w:rsid w:val="008603F3"/>
    <w:rsid w:val="00862279"/>
    <w:rsid w:val="00881CA4"/>
    <w:rsid w:val="008856D5"/>
    <w:rsid w:val="00890825"/>
    <w:rsid w:val="008933D3"/>
    <w:rsid w:val="00895D00"/>
    <w:rsid w:val="008976AA"/>
    <w:rsid w:val="008979B2"/>
    <w:rsid w:val="008A461D"/>
    <w:rsid w:val="008A54D2"/>
    <w:rsid w:val="008B04A8"/>
    <w:rsid w:val="008B5F6F"/>
    <w:rsid w:val="008C0273"/>
    <w:rsid w:val="008C6C10"/>
    <w:rsid w:val="008C7F1F"/>
    <w:rsid w:val="008D38C9"/>
    <w:rsid w:val="008D7B43"/>
    <w:rsid w:val="008E5610"/>
    <w:rsid w:val="008F1706"/>
    <w:rsid w:val="008F1F21"/>
    <w:rsid w:val="008F2094"/>
    <w:rsid w:val="008F392E"/>
    <w:rsid w:val="008F47D9"/>
    <w:rsid w:val="008F4AE4"/>
    <w:rsid w:val="008F523D"/>
    <w:rsid w:val="008F688D"/>
    <w:rsid w:val="009002B0"/>
    <w:rsid w:val="00904CE2"/>
    <w:rsid w:val="00910143"/>
    <w:rsid w:val="0091182E"/>
    <w:rsid w:val="00911FAD"/>
    <w:rsid w:val="009120FA"/>
    <w:rsid w:val="0091282E"/>
    <w:rsid w:val="009138A8"/>
    <w:rsid w:val="009175A5"/>
    <w:rsid w:val="00920404"/>
    <w:rsid w:val="00930183"/>
    <w:rsid w:val="00931685"/>
    <w:rsid w:val="009317D0"/>
    <w:rsid w:val="009406F7"/>
    <w:rsid w:val="00942B3B"/>
    <w:rsid w:val="00944E72"/>
    <w:rsid w:val="00955891"/>
    <w:rsid w:val="0095684D"/>
    <w:rsid w:val="00962989"/>
    <w:rsid w:val="00973AEA"/>
    <w:rsid w:val="009814C9"/>
    <w:rsid w:val="00982268"/>
    <w:rsid w:val="00983DFA"/>
    <w:rsid w:val="00985FED"/>
    <w:rsid w:val="00987BF0"/>
    <w:rsid w:val="00990E84"/>
    <w:rsid w:val="009944DE"/>
    <w:rsid w:val="00996997"/>
    <w:rsid w:val="009A2A80"/>
    <w:rsid w:val="009A3101"/>
    <w:rsid w:val="009A454B"/>
    <w:rsid w:val="009A45B4"/>
    <w:rsid w:val="009A7B0B"/>
    <w:rsid w:val="009B328D"/>
    <w:rsid w:val="009B635F"/>
    <w:rsid w:val="009B6EEE"/>
    <w:rsid w:val="009C3CE0"/>
    <w:rsid w:val="009D11BF"/>
    <w:rsid w:val="009D16B9"/>
    <w:rsid w:val="009D25C5"/>
    <w:rsid w:val="009D2F1B"/>
    <w:rsid w:val="009D44CC"/>
    <w:rsid w:val="009D6781"/>
    <w:rsid w:val="009E02EB"/>
    <w:rsid w:val="009F0E67"/>
    <w:rsid w:val="009F2C36"/>
    <w:rsid w:val="009F53E4"/>
    <w:rsid w:val="00A00755"/>
    <w:rsid w:val="00A061F7"/>
    <w:rsid w:val="00A06848"/>
    <w:rsid w:val="00A0688F"/>
    <w:rsid w:val="00A0703B"/>
    <w:rsid w:val="00A0710B"/>
    <w:rsid w:val="00A12A01"/>
    <w:rsid w:val="00A168DF"/>
    <w:rsid w:val="00A21C7D"/>
    <w:rsid w:val="00A26086"/>
    <w:rsid w:val="00A30D29"/>
    <w:rsid w:val="00A3240A"/>
    <w:rsid w:val="00A379CF"/>
    <w:rsid w:val="00A416F2"/>
    <w:rsid w:val="00A478D2"/>
    <w:rsid w:val="00A5229D"/>
    <w:rsid w:val="00A535F0"/>
    <w:rsid w:val="00A559B0"/>
    <w:rsid w:val="00A63915"/>
    <w:rsid w:val="00A6676B"/>
    <w:rsid w:val="00A73249"/>
    <w:rsid w:val="00A751B1"/>
    <w:rsid w:val="00A75940"/>
    <w:rsid w:val="00A83367"/>
    <w:rsid w:val="00A87B6A"/>
    <w:rsid w:val="00A9077D"/>
    <w:rsid w:val="00A921D7"/>
    <w:rsid w:val="00A94F42"/>
    <w:rsid w:val="00A96802"/>
    <w:rsid w:val="00AA1D08"/>
    <w:rsid w:val="00AB0CA8"/>
    <w:rsid w:val="00AB1B9A"/>
    <w:rsid w:val="00AB423D"/>
    <w:rsid w:val="00AB5DAC"/>
    <w:rsid w:val="00AC3304"/>
    <w:rsid w:val="00AC6A62"/>
    <w:rsid w:val="00AC76CD"/>
    <w:rsid w:val="00AD03B1"/>
    <w:rsid w:val="00AD0F26"/>
    <w:rsid w:val="00AD2DE9"/>
    <w:rsid w:val="00AD5141"/>
    <w:rsid w:val="00AE08EF"/>
    <w:rsid w:val="00AE10D7"/>
    <w:rsid w:val="00AE4792"/>
    <w:rsid w:val="00AE4A74"/>
    <w:rsid w:val="00AE7CDF"/>
    <w:rsid w:val="00AF2281"/>
    <w:rsid w:val="00AF2644"/>
    <w:rsid w:val="00AF31DC"/>
    <w:rsid w:val="00AF4B06"/>
    <w:rsid w:val="00B01EA4"/>
    <w:rsid w:val="00B0241A"/>
    <w:rsid w:val="00B05AEA"/>
    <w:rsid w:val="00B07A81"/>
    <w:rsid w:val="00B128AA"/>
    <w:rsid w:val="00B12F3A"/>
    <w:rsid w:val="00B14939"/>
    <w:rsid w:val="00B2155B"/>
    <w:rsid w:val="00B21826"/>
    <w:rsid w:val="00B218BC"/>
    <w:rsid w:val="00B226ED"/>
    <w:rsid w:val="00B25C02"/>
    <w:rsid w:val="00B325E4"/>
    <w:rsid w:val="00B331B2"/>
    <w:rsid w:val="00B336E7"/>
    <w:rsid w:val="00B34180"/>
    <w:rsid w:val="00B34EE6"/>
    <w:rsid w:val="00B37205"/>
    <w:rsid w:val="00B37989"/>
    <w:rsid w:val="00B407C7"/>
    <w:rsid w:val="00B504A6"/>
    <w:rsid w:val="00B53B65"/>
    <w:rsid w:val="00B6064F"/>
    <w:rsid w:val="00B60A51"/>
    <w:rsid w:val="00B60E24"/>
    <w:rsid w:val="00B624F0"/>
    <w:rsid w:val="00B62699"/>
    <w:rsid w:val="00B64DFF"/>
    <w:rsid w:val="00B70B2E"/>
    <w:rsid w:val="00B7390B"/>
    <w:rsid w:val="00B80321"/>
    <w:rsid w:val="00B80DCC"/>
    <w:rsid w:val="00B8250F"/>
    <w:rsid w:val="00B82FD1"/>
    <w:rsid w:val="00B830AC"/>
    <w:rsid w:val="00B86E4D"/>
    <w:rsid w:val="00B92126"/>
    <w:rsid w:val="00BA2125"/>
    <w:rsid w:val="00BA5C01"/>
    <w:rsid w:val="00BC0297"/>
    <w:rsid w:val="00BC08F4"/>
    <w:rsid w:val="00BC7042"/>
    <w:rsid w:val="00BC7383"/>
    <w:rsid w:val="00BE4F65"/>
    <w:rsid w:val="00BF29C3"/>
    <w:rsid w:val="00BF2A40"/>
    <w:rsid w:val="00BF68B7"/>
    <w:rsid w:val="00C04685"/>
    <w:rsid w:val="00C04CF2"/>
    <w:rsid w:val="00C05C0F"/>
    <w:rsid w:val="00C17FE5"/>
    <w:rsid w:val="00C24A02"/>
    <w:rsid w:val="00C25FA7"/>
    <w:rsid w:val="00C30AE5"/>
    <w:rsid w:val="00C3257E"/>
    <w:rsid w:val="00C44F42"/>
    <w:rsid w:val="00C47C0E"/>
    <w:rsid w:val="00C54D10"/>
    <w:rsid w:val="00C5581E"/>
    <w:rsid w:val="00C57A6A"/>
    <w:rsid w:val="00C57DE2"/>
    <w:rsid w:val="00C63F51"/>
    <w:rsid w:val="00C640F1"/>
    <w:rsid w:val="00C66B9D"/>
    <w:rsid w:val="00C71A90"/>
    <w:rsid w:val="00C74B21"/>
    <w:rsid w:val="00C756DF"/>
    <w:rsid w:val="00C842AE"/>
    <w:rsid w:val="00C86F8B"/>
    <w:rsid w:val="00C9447B"/>
    <w:rsid w:val="00C94D4A"/>
    <w:rsid w:val="00CA0E9A"/>
    <w:rsid w:val="00CA3619"/>
    <w:rsid w:val="00CA3BC0"/>
    <w:rsid w:val="00CA4B46"/>
    <w:rsid w:val="00CA578C"/>
    <w:rsid w:val="00CB19D3"/>
    <w:rsid w:val="00CB2136"/>
    <w:rsid w:val="00CB35B7"/>
    <w:rsid w:val="00CB4A64"/>
    <w:rsid w:val="00CB5E45"/>
    <w:rsid w:val="00CB7659"/>
    <w:rsid w:val="00CC0E8B"/>
    <w:rsid w:val="00CC19E9"/>
    <w:rsid w:val="00CC27ED"/>
    <w:rsid w:val="00CC3BD2"/>
    <w:rsid w:val="00CC576A"/>
    <w:rsid w:val="00CD00E7"/>
    <w:rsid w:val="00CD5824"/>
    <w:rsid w:val="00D011AF"/>
    <w:rsid w:val="00D0289D"/>
    <w:rsid w:val="00D20E5A"/>
    <w:rsid w:val="00D220BF"/>
    <w:rsid w:val="00D23FB5"/>
    <w:rsid w:val="00D27C94"/>
    <w:rsid w:val="00D33603"/>
    <w:rsid w:val="00D340F4"/>
    <w:rsid w:val="00D3781C"/>
    <w:rsid w:val="00D37D07"/>
    <w:rsid w:val="00D41E15"/>
    <w:rsid w:val="00D45500"/>
    <w:rsid w:val="00D46022"/>
    <w:rsid w:val="00D54392"/>
    <w:rsid w:val="00D55C33"/>
    <w:rsid w:val="00D569F7"/>
    <w:rsid w:val="00D57535"/>
    <w:rsid w:val="00D608A1"/>
    <w:rsid w:val="00D627A6"/>
    <w:rsid w:val="00D64417"/>
    <w:rsid w:val="00D652A5"/>
    <w:rsid w:val="00D71B8E"/>
    <w:rsid w:val="00D86F19"/>
    <w:rsid w:val="00D90170"/>
    <w:rsid w:val="00D916F5"/>
    <w:rsid w:val="00DA40A6"/>
    <w:rsid w:val="00DA5CDB"/>
    <w:rsid w:val="00DB1490"/>
    <w:rsid w:val="00DD1634"/>
    <w:rsid w:val="00DD773E"/>
    <w:rsid w:val="00DE00FC"/>
    <w:rsid w:val="00DE79F4"/>
    <w:rsid w:val="00DF14AC"/>
    <w:rsid w:val="00DF6025"/>
    <w:rsid w:val="00DF61BD"/>
    <w:rsid w:val="00DF6AAA"/>
    <w:rsid w:val="00E0352C"/>
    <w:rsid w:val="00E05904"/>
    <w:rsid w:val="00E05EC6"/>
    <w:rsid w:val="00E120A6"/>
    <w:rsid w:val="00E12C34"/>
    <w:rsid w:val="00E170C3"/>
    <w:rsid w:val="00E22C61"/>
    <w:rsid w:val="00E24C8C"/>
    <w:rsid w:val="00E25E27"/>
    <w:rsid w:val="00E32FCE"/>
    <w:rsid w:val="00E361E7"/>
    <w:rsid w:val="00E414C1"/>
    <w:rsid w:val="00E43EB3"/>
    <w:rsid w:val="00E54A93"/>
    <w:rsid w:val="00E57CD5"/>
    <w:rsid w:val="00E61CED"/>
    <w:rsid w:val="00E63535"/>
    <w:rsid w:val="00E63B8A"/>
    <w:rsid w:val="00E67075"/>
    <w:rsid w:val="00E704D4"/>
    <w:rsid w:val="00E7078F"/>
    <w:rsid w:val="00E7082C"/>
    <w:rsid w:val="00E70EB3"/>
    <w:rsid w:val="00E71273"/>
    <w:rsid w:val="00E7255D"/>
    <w:rsid w:val="00E73B47"/>
    <w:rsid w:val="00E77A86"/>
    <w:rsid w:val="00E804BE"/>
    <w:rsid w:val="00E80F7B"/>
    <w:rsid w:val="00E83B3C"/>
    <w:rsid w:val="00E92E6B"/>
    <w:rsid w:val="00E93953"/>
    <w:rsid w:val="00E95489"/>
    <w:rsid w:val="00E960E9"/>
    <w:rsid w:val="00E961DE"/>
    <w:rsid w:val="00EA0C1B"/>
    <w:rsid w:val="00EA56AC"/>
    <w:rsid w:val="00EA6080"/>
    <w:rsid w:val="00EC3F49"/>
    <w:rsid w:val="00ED3420"/>
    <w:rsid w:val="00EE06DD"/>
    <w:rsid w:val="00EE31D6"/>
    <w:rsid w:val="00EE6949"/>
    <w:rsid w:val="00EF5212"/>
    <w:rsid w:val="00F02C85"/>
    <w:rsid w:val="00F03305"/>
    <w:rsid w:val="00F05295"/>
    <w:rsid w:val="00F075BB"/>
    <w:rsid w:val="00F121FC"/>
    <w:rsid w:val="00F129A5"/>
    <w:rsid w:val="00F13D00"/>
    <w:rsid w:val="00F13DC2"/>
    <w:rsid w:val="00F20A7D"/>
    <w:rsid w:val="00F24338"/>
    <w:rsid w:val="00F26614"/>
    <w:rsid w:val="00F3310F"/>
    <w:rsid w:val="00F354DA"/>
    <w:rsid w:val="00F36C5A"/>
    <w:rsid w:val="00F37304"/>
    <w:rsid w:val="00F4272C"/>
    <w:rsid w:val="00F47B77"/>
    <w:rsid w:val="00F55FB3"/>
    <w:rsid w:val="00F61D8B"/>
    <w:rsid w:val="00F62779"/>
    <w:rsid w:val="00F6374D"/>
    <w:rsid w:val="00F65C68"/>
    <w:rsid w:val="00F71A01"/>
    <w:rsid w:val="00F746B6"/>
    <w:rsid w:val="00F76020"/>
    <w:rsid w:val="00F81A0C"/>
    <w:rsid w:val="00F83A53"/>
    <w:rsid w:val="00F87000"/>
    <w:rsid w:val="00F87082"/>
    <w:rsid w:val="00FB1C56"/>
    <w:rsid w:val="00FB3AE2"/>
    <w:rsid w:val="00FB465D"/>
    <w:rsid w:val="00FB691C"/>
    <w:rsid w:val="00FC2236"/>
    <w:rsid w:val="00FC415C"/>
    <w:rsid w:val="00FC50D6"/>
    <w:rsid w:val="00FC5310"/>
    <w:rsid w:val="00FD272C"/>
    <w:rsid w:val="00FD51BE"/>
    <w:rsid w:val="00FE2607"/>
    <w:rsid w:val="00FE6AE9"/>
    <w:rsid w:val="00FF0FDF"/>
    <w:rsid w:val="00FF4D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EBDD4"/>
  <w15:chartTrackingRefBased/>
  <w15:docId w15:val="{CADF184B-D402-4BB2-B827-0591C19AD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1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1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1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1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1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1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1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1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1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1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CA4"/>
    <w:rPr>
      <w:rFonts w:eastAsiaTheme="majorEastAsia" w:cstheme="majorBidi"/>
      <w:color w:val="272727" w:themeColor="text1" w:themeTint="D8"/>
    </w:rPr>
  </w:style>
  <w:style w:type="paragraph" w:styleId="Title">
    <w:name w:val="Title"/>
    <w:basedOn w:val="Normal"/>
    <w:next w:val="Normal"/>
    <w:link w:val="TitleChar"/>
    <w:uiPriority w:val="10"/>
    <w:qFormat/>
    <w:rsid w:val="00881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CA4"/>
    <w:pPr>
      <w:spacing w:before="160"/>
      <w:jc w:val="center"/>
    </w:pPr>
    <w:rPr>
      <w:i/>
      <w:iCs/>
      <w:color w:val="404040" w:themeColor="text1" w:themeTint="BF"/>
    </w:rPr>
  </w:style>
  <w:style w:type="character" w:customStyle="1" w:styleId="QuoteChar">
    <w:name w:val="Quote Char"/>
    <w:basedOn w:val="DefaultParagraphFont"/>
    <w:link w:val="Quote"/>
    <w:uiPriority w:val="29"/>
    <w:rsid w:val="00881CA4"/>
    <w:rPr>
      <w:i/>
      <w:iCs/>
      <w:color w:val="404040" w:themeColor="text1" w:themeTint="BF"/>
    </w:rPr>
  </w:style>
  <w:style w:type="paragraph" w:styleId="ListParagraph">
    <w:name w:val="List Paragraph"/>
    <w:basedOn w:val="Normal"/>
    <w:uiPriority w:val="34"/>
    <w:qFormat/>
    <w:rsid w:val="00881CA4"/>
    <w:pPr>
      <w:ind w:left="720"/>
      <w:contextualSpacing/>
    </w:pPr>
  </w:style>
  <w:style w:type="character" w:styleId="IntenseEmphasis">
    <w:name w:val="Intense Emphasis"/>
    <w:basedOn w:val="DefaultParagraphFont"/>
    <w:uiPriority w:val="21"/>
    <w:qFormat/>
    <w:rsid w:val="00881CA4"/>
    <w:rPr>
      <w:i/>
      <w:iCs/>
      <w:color w:val="2F5496" w:themeColor="accent1" w:themeShade="BF"/>
    </w:rPr>
  </w:style>
  <w:style w:type="paragraph" w:styleId="IntenseQuote">
    <w:name w:val="Intense Quote"/>
    <w:basedOn w:val="Normal"/>
    <w:next w:val="Normal"/>
    <w:link w:val="IntenseQuoteChar"/>
    <w:uiPriority w:val="30"/>
    <w:qFormat/>
    <w:rsid w:val="00881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1CA4"/>
    <w:rPr>
      <w:i/>
      <w:iCs/>
      <w:color w:val="2F5496" w:themeColor="accent1" w:themeShade="BF"/>
    </w:rPr>
  </w:style>
  <w:style w:type="character" w:styleId="IntenseReference">
    <w:name w:val="Intense Reference"/>
    <w:basedOn w:val="DefaultParagraphFont"/>
    <w:uiPriority w:val="32"/>
    <w:qFormat/>
    <w:rsid w:val="00881CA4"/>
    <w:rPr>
      <w:b/>
      <w:bCs/>
      <w:smallCaps/>
      <w:color w:val="2F5496" w:themeColor="accent1" w:themeShade="BF"/>
      <w:spacing w:val="5"/>
    </w:rPr>
  </w:style>
  <w:style w:type="table" w:styleId="TableGrid">
    <w:name w:val="Table Grid"/>
    <w:basedOn w:val="TableNormal"/>
    <w:uiPriority w:val="39"/>
    <w:rsid w:val="00140F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A5E84"/>
    <w:rPr>
      <w:sz w:val="16"/>
      <w:szCs w:val="16"/>
    </w:rPr>
  </w:style>
  <w:style w:type="paragraph" w:styleId="CommentText">
    <w:name w:val="annotation text"/>
    <w:basedOn w:val="Normal"/>
    <w:link w:val="CommentTextChar"/>
    <w:uiPriority w:val="99"/>
    <w:semiHidden/>
    <w:unhideWhenUsed/>
    <w:rsid w:val="002A5E84"/>
    <w:pPr>
      <w:spacing w:line="240" w:lineRule="auto"/>
    </w:pPr>
    <w:rPr>
      <w:sz w:val="20"/>
      <w:szCs w:val="20"/>
    </w:rPr>
  </w:style>
  <w:style w:type="character" w:customStyle="1" w:styleId="CommentTextChar">
    <w:name w:val="Comment Text Char"/>
    <w:basedOn w:val="DefaultParagraphFont"/>
    <w:link w:val="CommentText"/>
    <w:uiPriority w:val="99"/>
    <w:semiHidden/>
    <w:rsid w:val="002A5E84"/>
    <w:rPr>
      <w:sz w:val="20"/>
      <w:szCs w:val="20"/>
    </w:rPr>
  </w:style>
  <w:style w:type="paragraph" w:styleId="CommentSubject">
    <w:name w:val="annotation subject"/>
    <w:basedOn w:val="CommentText"/>
    <w:next w:val="CommentText"/>
    <w:link w:val="CommentSubjectChar"/>
    <w:uiPriority w:val="99"/>
    <w:semiHidden/>
    <w:unhideWhenUsed/>
    <w:rsid w:val="002A5E84"/>
    <w:rPr>
      <w:b/>
      <w:bCs/>
    </w:rPr>
  </w:style>
  <w:style w:type="character" w:customStyle="1" w:styleId="CommentSubjectChar">
    <w:name w:val="Comment Subject Char"/>
    <w:basedOn w:val="CommentTextChar"/>
    <w:link w:val="CommentSubject"/>
    <w:uiPriority w:val="99"/>
    <w:semiHidden/>
    <w:rsid w:val="002A5E84"/>
    <w:rPr>
      <w:b/>
      <w:bCs/>
      <w:sz w:val="20"/>
      <w:szCs w:val="20"/>
    </w:rPr>
  </w:style>
  <w:style w:type="character" w:styleId="PlaceholderText">
    <w:name w:val="Placeholder Text"/>
    <w:basedOn w:val="DefaultParagraphFont"/>
    <w:uiPriority w:val="99"/>
    <w:semiHidden/>
    <w:rsid w:val="005B71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A536BE-29E0-42DC-8465-4C00F236616C}">
  <we:reference id="wa200000368" version="1.0.0.0" store="en-US" storeType="OMEX"/>
  <we:alternateReferences>
    <we:reference id="WA200000368" version="1.0.0.0" store="" storeType="OMEX"/>
  </we:alternateReferences>
  <we:properties>
    <we:property name="documentId" value="&quot;587dee2f52fe716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99</TotalTime>
  <Pages>9</Pages>
  <Words>5919</Words>
  <Characters>33742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Abdelkader Atia</dc:creator>
  <cp:keywords/>
  <dc:description/>
  <cp:lastModifiedBy>Abdelkader Atia</cp:lastModifiedBy>
  <cp:revision>2</cp:revision>
  <dcterms:created xsi:type="dcterms:W3CDTF">2026-02-27T22:19:00Z</dcterms:created>
  <dcterms:modified xsi:type="dcterms:W3CDTF">2026-03-03T22:44:00Z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2842e40e-1675-4cc6-b555-c66a0f90259a</vt:lpwstr>
  </property>
  <property fmtid="{D5CDD505-2E9C-101B-9397-08002B2CF9AE}" pid="3" name="ZOTERO_PREF_1">
    <vt:lpwstr>&lt;data data-version="3" zotero-version="8.0.3"&gt;&lt;session id="0u40f7L8"/&gt;&lt;style id="http://www.zotero.org/styles/apa" locale="en-US" hasBibliography="1" bibliographyStyleHasBeenSet="0"/&gt;&lt;prefs&gt;&lt;pref name="fieldType" value="Field"/&gt;&lt;/prefs&gt;&lt;/data&gt;</vt:lpwstr>
  </property>
</Properties>
</file>