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28"/>
          <w:szCs w:val="28"/>
        </w:rPr>
        <w:t xml:space="preserve">ARCHITECTURE DECISION RECORD ADR-005</w:t>
      </w:r>
    </w:p>
    <w:p>
      <w:pPr>
        <w:spacing w:after="40"/>
        <w:jc w:val="center"/>
      </w:pPr>
      <w:r>
        <w:rPr>
          <w:b/>
          <w:bCs/>
          <w:color w:val="2E5A8F"/>
          <w:sz w:val="22"/>
          <w:szCs w:val="22"/>
        </w:rPr>
        <w:t xml:space="preserve">Four-Plane Full-Stack Architecture</w:t>
      </w:r>
    </w:p>
    <w:p>
      <w:pPr>
        <w:spacing w:after="200"/>
        <w:jc w:val="center"/>
      </w:pPr>
      <w:r>
        <w:rPr>
          <w:sz w:val="15"/>
          <w:szCs w:val="15"/>
        </w:rPr>
        <w:t xml:space="preserve">Status: ACCEPTED  |  19 August 2026  |  PTDT v35 → TSM Production Path</w:t>
      </w:r>
    </w:p>
    <w:p>
      <w:pPr>
        <w:pStyle w:val="Heading1"/>
      </w:pPr>
      <w:r>
        <w:t xml:space="preserve">1. Context</w:t>
      </w:r>
    </w:p>
    <w:p>
      <w:pPr>
        <w:spacing w:after="100"/>
      </w:pPr>
      <w:r>
        <w:t xml:space="preserve">The PTDT v35 component is a prototype EOC/digital-twin control surface. The program objective is a defensible, authoritative Tri-State Systems platform with live evidence ingestion, regulatory governance, provenance, accessibility, AI governance, and reproducible engineering analysis. The prototype is the presentation layer only — not the source of scientific truth.</w:t>
      </w:r>
    </w:p>
    <w:p>
      <w:pPr>
        <w:pStyle w:val="Heading1"/>
      </w:pPr>
      <w:r>
        <w:t xml:space="preserve">2. Decision</w:t>
      </w:r>
    </w:p>
    <w:p>
      <w:pPr>
        <w:spacing w:after="80"/>
      </w:pPr>
      <w:r>
        <w:rPr>
          <w:b/>
          <w:bCs/>
        </w:rPr>
        <w:t xml:space="preserve">FULL STACK.</w:t>
      </w:r>
      <w:r>
        <w:t xml:space="preserve"> This repository becomes the complete Tri-State Systems Manager: ingestion workers, evidence ledger, object storage/API layer, regulatory rule engine, CI/CD, and public-accessibility clients. The current React/MapLibre/R3F console is retained as the first operational client of the Public Experience / Visualization Plane.</w:t>
      </w:r>
    </w:p>
    <w:p>
      <w:pPr>
        <w:pStyle w:val="Heading1"/>
      </w:pPr>
      <w:r>
        <w:t xml:space="preserve">3. Four Planes</w:t>
      </w:r>
    </w:p>
    <w:p>
      <w:pPr>
        <w:pStyle w:val="Heading2"/>
      </w:pPr>
      <w:r>
        <w:t xml:space="preserve">3.1 Evidence &amp; Data Governance Plane</w:t>
      </w:r>
    </w:p>
    <w:p>
      <w:pPr>
        <w:pStyle w:val="ListParagraph"/>
        <w:numPr>
          <w:ilvl w:val="0"/>
          <w:numId w:val="2"/>
        </w:numPr>
      </w:pPr>
      <w:r>
        <w:t xml:space="preserve">USGS NWIS / NOAA NWPS ingestion; Indiana GIO / 3DEP; FEMA NFHL / INFIP</w:t>
      </w:r>
    </w:p>
    <w:p>
      <w:pPr>
        <w:pStyle w:val="ListParagraph"/>
        <w:numPr>
          <w:ilvl w:val="0"/>
          <w:numId w:val="2"/>
        </w:numPr>
      </w:pPr>
      <w:r>
        <w:t xml:space="preserve">Immutable source snapshots, SHA-256 content addressing, provenance manifests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Validation, freshness, fail-closed ingestion — client never owns authoritative state</w:t>
      </w:r>
    </w:p>
    <w:p>
      <w:pPr>
        <w:pStyle w:val="Heading2"/>
      </w:pPr>
      <w:r>
        <w:t xml:space="preserve">3.2 Scientific &amp; Simulation Plane</w:t>
      </w:r>
    </w:p>
    <w:p>
      <w:pPr>
        <w:pStyle w:val="ListParagraph"/>
        <w:numPr>
          <w:ilvl w:val="0"/>
          <w:numId w:val="2"/>
        </w:numPr>
      </w:pPr>
      <w:r>
        <w:t xml:space="preserve">Observations immutable; models on versioned inputs; uncertainty explicit</w:t>
      </w:r>
    </w:p>
    <w:p>
      <w:pPr>
        <w:pStyle w:val="ListParagraph"/>
        <w:numPr>
          <w:ilvl w:val="0"/>
          <w:numId w:val="2"/>
        </w:numPr>
      </w:pPr>
      <w:r>
        <w:t xml:space="preserve">HAZUS/BCA as traceable adapters with source/version/assumptions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Horizontal CRS (e.g. EPSG:2966) and vertical datum (NAVD88) never conflated</w:t>
      </w:r>
    </w:p>
    <w:p>
      <w:pPr>
        <w:pStyle w:val="Heading2"/>
      </w:pPr>
      <w:r>
        <w:t xml:space="preserve">3.3 Governance &amp; Decision Plane</w:t>
      </w:r>
    </w:p>
    <w:p>
      <w:pPr>
        <w:pStyle w:val="ListParagraph"/>
        <w:numPr>
          <w:ilvl w:val="0"/>
          <w:numId w:val="2"/>
        </w:numPr>
      </w:pPr>
      <w:r>
        <w:t xml:space="preserve">IN/IL/KY profiles; federal overlays; versioned machine-readable policies</w:t>
      </w:r>
    </w:p>
    <w:p>
      <w:pPr>
        <w:pStyle w:val="ListParagraph"/>
        <w:numPr>
          <w:ilvl w:val="0"/>
          <w:numId w:val="2"/>
        </w:numPr>
      </w:pPr>
      <w:r>
        <w:t xml:space="preserve">Human approval gates; AI model cards; public audit trail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AI result silently becomes a regulatory determination; FRE 702 is a legal framework, not a hash claim</w:t>
      </w:r>
    </w:p>
    <w:p>
      <w:pPr>
        <w:pStyle w:val="Heading2"/>
      </w:pPr>
      <w:r>
        <w:t xml:space="preserve">3.4 Public Experience / Visualization Plane</w:t>
      </w:r>
    </w:p>
    <w:p>
      <w:pPr>
        <w:pStyle w:val="ListParagraph"/>
        <w:numPr>
          <w:ilvl w:val="0"/>
          <w:numId w:val="2"/>
        </w:numPr>
      </w:pPr>
      <w:r>
        <w:t xml:space="preserve">MapLibre/WebGPU/R3F; accessibility-first; low-bandwidth mode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Provenance visible in UI; downloadable evidence packages; stage slider = visualization only</w:t>
      </w:r>
    </w:p>
    <w:p>
      <w:pPr>
        <w:pStyle w:val="Heading1"/>
      </w:pPr>
      <w:r>
        <w:t xml:space="preserve">4. EvidenceArtifact Contract</w:t>
      </w:r>
    </w:p>
    <w:p>
      <w:pPr>
        <w:spacing w:after="80"/>
      </w:pPr>
      <w:r>
        <w:t xml:space="preserve">Canonical schema: tsm-evidence-artifact-schema-v1.0.0.json. Distinction chain AUTHORITY → OBSERVATION → DERIVATION → MODEL → INFERENCE → VISUALIZATION. content_hash_sha256 is 64-char hex from real SHA-256. SIMULATION_DEMO authority_class is mandatory for any non-live data.</w:t>
      </w:r>
    </w:p>
    <w:p>
      <w:pPr>
        <w:pStyle w:val="Heading1"/>
      </w:pPr>
      <w:r>
        <w:t xml:space="preserve">5. Critical Prototype Corrections (Accepted)</w:t>
      </w:r>
    </w:p>
    <w:p>
      <w:pPr>
        <w:pStyle w:val="ListParagraph"/>
        <w:numPr>
          <w:ilvl w:val="0"/>
          <w:numId w:val="3"/>
        </w:numPr>
      </w:pPr>
      <w:r>
        <w:t xml:space="preserve">Math.random forbidden for evidence IDs — crypto.randomUUID only</w:t>
      </w:r>
    </w:p>
    <w:p>
      <w:pPr>
        <w:pStyle w:val="ListParagraph"/>
        <w:numPr>
          <w:ilvl w:val="0"/>
          <w:numId w:val="3"/>
        </w:numPr>
      </w:pPr>
      <w:r>
        <w:t xml:space="preserve">Client ledger is cache/demo; server Evidence Plane is authoritative</w:t>
      </w:r>
    </w:p>
    <w:p>
      <w:pPr>
        <w:pStyle w:val="ListParagraph"/>
        <w:numPr>
          <w:ilvl w:val="0"/>
          <w:numId w:val="3"/>
        </w:numPr>
      </w:pPr>
      <w:r>
        <w:t xml:space="preserve">Hard-coded sensors labeled SIMULATION_DEMO</w:t>
      </w:r>
    </w:p>
    <w:p>
      <w:pPr>
        <w:pStyle w:val="ListParagraph"/>
        <w:numPr>
          <w:ilvl w:val="0"/>
          <w:numId w:val="3"/>
        </w:numPr>
      </w:pPr>
      <w:r>
        <w:t xml:space="preserve">Live USGS/NOAA ingestion required for any “live” claim</w:t>
      </w:r>
    </w:p>
    <w:p>
      <w:pPr>
        <w:pStyle w:val="ListParagraph"/>
        <w:numPr>
          <w:ilvl w:val="0"/>
          <w:numId w:val="3"/>
        </w:numPr>
      </w:pPr>
      <w:r>
        <w:t xml:space="preserve">EPSG:2966 ≠ NAVD88 — separate spatial_reference and vertical_reference</w:t>
      </w:r>
    </w:p>
    <w:p>
      <w:pPr>
        <w:pStyle w:val="ListParagraph"/>
        <w:numPr>
          <w:ilvl w:val="0"/>
          <w:numId w:val="3"/>
        </w:numPr>
      </w:pPr>
      <w:r>
        <w:t xml:space="preserve">BCA/HAZUS numbers require provenance or demo label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Frontend never owns regulatory/evidence authoritative state</w:t>
      </w:r>
    </w:p>
    <w:p>
      <w:pPr>
        <w:pStyle w:val="Heading1"/>
      </w:pPr>
      <w:r>
        <w:t xml:space="preserve">6. Consequences</w:t>
      </w:r>
    </w:p>
    <w:p>
      <w:pPr>
        <w:spacing w:after="80"/>
      </w:pPr>
      <w:r>
        <w:t xml:space="preserve">Next implementation work packages: (1) server ingestion workers against Authority Registry v35, (2) PostgreSQL/PostGIS or equivalent evidence store, (3) policy engine for jurisdiction rules with source citations, (4) client UI badges for authority_class and is_simulation_demo. The Memorial Charter and human-authority rule remain non-negotiable.</w:t>
      </w:r>
    </w:p>
    <w:p>
      <w:pPr>
        <w:spacing w:before="200"/>
        <w:jc w:val="center"/>
      </w:pPr>
      <w:r>
        <w:rPr>
          <w:i/>
          <w:iCs/>
          <w:color w:val="666666"/>
          <w:sz w:val="15"/>
          <w:szCs w:val="15"/>
        </w:rPr>
        <w:t xml:space="preserve">— End of ADR-005 —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3"/>
        <w:szCs w:val="13"/>
      </w:rPr>
      <w:t xml:space="preserve">Page </w:t>
    </w:r>
    <w:r>
      <w:rPr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3"/>
        <w:szCs w:val="13"/>
      </w:rPr>
      <w:t xml:space="preserve">  |  God First • Serve Everyone  |  2026-08-19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</w:pPr>
    <w:r>
      <w:rPr>
        <w:b/>
        <w:bCs/>
        <w:color w:val="1E3A5F"/>
        <w:sz w:val="15"/>
        <w:szCs w:val="15"/>
      </w:rPr>
      <w:t xml:space="preserve">TuckerInc.82  |  Tri-State Systems Manager</w:t>
    </w:r>
    <w:r>
      <w:rPr>
        <w:color w:val="666666"/>
        <w:sz w:val="15"/>
        <w:szCs w:val="15"/>
      </w:rPr>
      <w:t xml:space="preserve">  •  ADR-005 Four-Plane Full-Stack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A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2026-08-19T21:11:27.527Z</dcterms:created>
  <dcterms:modified xsi:type="dcterms:W3CDTF">2026-08-19T21:11:27.527Z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