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ARCHITECTURE DECISION RECORD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A8F"/>
          <w:sz w:val="32"/>
          <w:szCs w:val="32"/>
        </w:rPr>
        <w:t xml:space="preserve">&amp; GAP REMEDIATION PLAN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Tri-State Systems Manager — Infinite Orchestration Console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TuckerInc.82  •  Public-Interest Intelligence &amp; Engineering Platform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Version 1.0  |  19 August 2026  |  Status: APPROVED FOR IMPLEMENTATION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This Architecture Decision Record (ADR) formalizes the technical and governance decisions required to advance the Tri-State Systems Manager (TSM) Infinite Orchestration Console from its current prototype state into a production-grade, public-interest intelligence platform for the Tri-State River Valley. It simultaneously delivers the Gap Remediation Plan, the formal Data Contract Schema (v1.0.0), the production Zero-Trust / multi-tenant security architecture, the open-source repository structure and contribution governance model, and deepened subsystem designs for the Evidence Ledger, Community Benefit Engine, Tucker Power &amp; PCM Utilities, and 3D Visualization Pipeline.</w:t>
      </w:r>
    </w:p>
    <w:p>
      <w:pPr>
        <w:spacing w:after="120"/>
      </w:pPr>
      <w:r>
        <w:rPr>
          <w:b/>
          <w:bCs/>
        </w:rPr>
        <w:t xml:space="preserve">Governing Principle: </w:t>
      </w:r>
      <w:r>
        <w:t xml:space="preserve">The system informs people; it does not silently govern people. Human authority remains final. Technology is a stewardship of knowledge and capability whose purpose is to protect life, strengthen communities, expand opportunity, preserve truth, respect human dignity, and serve every person without discrimination.</w:t>
      </w:r>
    </w:p>
    <w:p>
      <w:pPr>
        <w:spacing w:after="200"/>
      </w:pPr>
      <w:r>
        <w:rPr>
          <w:b/>
          <w:bCs/>
        </w:rPr>
        <w:t xml:space="preserve">Mission Alignment: </w:t>
      </w:r>
      <w:r>
        <w:t xml:space="preserve">When God is placed first, anything is possible. This platform will demonstrate the power of open-source technology while remaining religion-neutral and legally non-discriminatory in its technical governance so that it can serve every member of the Tri-State River Valley.</w:t>
      </w:r>
    </w:p>
    <w:p>
      <w:pPr>
        <w:pStyle w:val="Heading1"/>
      </w:pPr>
      <w:r>
        <w:t xml:space="preserve">2. Context and Current State</w:t>
      </w:r>
    </w:p>
    <w:p>
      <w:pPr>
        <w:spacing w:after="120"/>
      </w:pPr>
      <w:r>
        <w:t xml:space="preserve">The existing React + Firebase + React Three Fiber console implements a credible first operational artifact. It already contains:</w:t>
      </w:r>
    </w:p>
    <w:p>
      <w:pPr>
        <w:pStyle w:val="ListParagraph"/>
        <w:numPr>
          <w:ilvl w:val="0"/>
          <w:numId w:val="2"/>
        </w:numPr>
      </w:pPr>
      <w:r>
        <w:t xml:space="preserve">Beverly Ann Tucker Memorial Stewardship Charter</w:t>
      </w:r>
    </w:p>
    <w:p>
      <w:pPr>
        <w:pStyle w:val="ListParagraph"/>
        <w:numPr>
          <w:ilvl w:val="0"/>
          <w:numId w:val="2"/>
        </w:numPr>
      </w:pPr>
      <w:r>
        <w:t xml:space="preserve">Eight Trust Planes (Physical Infrastructure → Community Service &amp; Accessibility)</w:t>
      </w:r>
    </w:p>
    <w:p>
      <w:pPr>
        <w:pStyle w:val="ListParagraph"/>
        <w:numPr>
          <w:ilvl w:val="0"/>
          <w:numId w:val="2"/>
        </w:numPr>
      </w:pPr>
      <w:r>
        <w:t xml:space="preserve">Seven-Tier Epistemology Hierarchy (Law → Community Observations)</w:t>
      </w:r>
    </w:p>
    <w:p>
      <w:pPr>
        <w:pStyle w:val="ListParagraph"/>
        <w:numPr>
          <w:ilvl w:val="0"/>
          <w:numId w:val="2"/>
        </w:numPr>
      </w:pPr>
      <w:r>
        <w:t xml:space="preserve">Machine-readable dataset contract objects</w:t>
      </w:r>
    </w:p>
    <w:p>
      <w:pPr>
        <w:pStyle w:val="ListParagraph"/>
        <w:numPr>
          <w:ilvl w:val="0"/>
          <w:numId w:val="2"/>
        </w:numPr>
      </w:pPr>
      <w:r>
        <w:t xml:space="preserve">Cryptographic evidence ledger with SHA-256</w:t>
      </w:r>
    </w:p>
    <w:p>
      <w:pPr>
        <w:pStyle w:val="ListParagraph"/>
        <w:numPr>
          <w:ilvl w:val="0"/>
          <w:numId w:val="2"/>
        </w:numPr>
      </w:pPr>
      <w:r>
        <w:t xml:space="preserve">Community Benefit Engine with multi-dimensional impact vectors</w:t>
      </w:r>
    </w:p>
    <w:p>
      <w:pPr>
        <w:pStyle w:val="ListParagraph"/>
        <w:numPr>
          <w:ilvl w:val="0"/>
          <w:numId w:val="2"/>
        </w:numPr>
      </w:pPr>
      <w:r>
        <w:t xml:space="preserve">Interactive 3D flood-stage visualization of the Wabash-Ohio confluence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Tucker Power / PCM utilities monitoring surface</w:t>
      </w:r>
    </w:p>
    <w:p>
      <w:pPr>
        <w:pStyle w:val="Heading1"/>
      </w:pPr>
      <w:r>
        <w:t xml:space="preserve">3. Architecture Decisions</w:t>
      </w:r>
    </w:p>
    <w:p>
      <w:pPr>
        <w:pStyle w:val="Heading2"/>
      </w:pPr>
      <w:r>
        <w:t xml:space="preserve">ADR-001: Data Contract Schema as Versioned Standard</w:t>
      </w:r>
    </w:p>
    <w:p>
      <w:pPr>
        <w:spacing w:after="120"/>
      </w:pPr>
      <w:r>
        <w:t xml:space="preserve">Decision: Adopt the formal JSON Schema published as tsm-data-contract-schema-v1.0.0.json as the single source of truth for all dataset contracts within the Data Governance Plane. All future catalog entries, ingestion pipelines, and API responses SHALL validate against this schema.</w:t>
      </w:r>
    </w:p>
    <w:p>
      <w:pPr>
        <w:spacing w:after="120"/>
      </w:pPr>
      <w:r>
        <w:rPr>
          <w:b/>
          <w:bCs/>
        </w:rPr>
        <w:t xml:space="preserve">Rationale: </w:t>
      </w:r>
      <w:r>
        <w:t xml:space="preserve">Indiana Data Strategy 2024 requires machine-readable metadata, classification, lineage, legal basis, and purpose limitation. The schema encodes these requirements plus NIST AI RMF control mappings and the absolute prohibition on autonomous decision-making without human oversight.</w:t>
      </w:r>
    </w:p>
    <w:p>
      <w:pPr>
        <w:spacing w:after="200"/>
      </w:pPr>
      <w:r>
        <w:rPr>
          <w:b/>
          <w:bCs/>
        </w:rPr>
        <w:t xml:space="preserve">Status: </w:t>
      </w:r>
      <w:r>
        <w:t xml:space="preserve">Accepted. Schema file delivered with this ADR.</w:t>
      </w:r>
    </w:p>
    <w:p>
      <w:pPr>
        <w:pStyle w:val="Heading2"/>
      </w:pPr>
      <w:r>
        <w:t xml:space="preserve">ADR-002: Production Zero-Trust / Multi-Tenant Security Architecture</w:t>
      </w:r>
    </w:p>
    <w:p>
      <w:pPr>
        <w:spacing w:after="120"/>
      </w:pPr>
      <w:r>
        <w:t xml:space="preserve">Decision: Replace the current anonymous-auth + public Firestore path model with a full Zero-Trust architecture. Every request is authenticated, authorized, encrypted in transit and at rest, logged, and subject to continuous verification.</w:t>
      </w:r>
    </w:p>
    <w:p>
      <w:pPr>
        <w:spacing w:after="80"/>
      </w:pPr>
      <w:r>
        <w:rPr>
          <w:b/>
          <w:bCs/>
        </w:rPr>
        <w:t xml:space="preserve">Core Zero-Trust Principles Applied:</w:t>
      </w:r>
    </w:p>
    <w:p>
      <w:pPr>
        <w:pStyle w:val="ListParagraph"/>
        <w:numPr>
          <w:ilvl w:val="0"/>
          <w:numId w:val="3"/>
        </w:numPr>
      </w:pPr>
      <w:r>
        <w:t xml:space="preserve">Never trust, always verify — identity is established for every request.</w:t>
      </w:r>
    </w:p>
    <w:p>
      <w:pPr>
        <w:pStyle w:val="ListParagraph"/>
        <w:numPr>
          <w:ilvl w:val="0"/>
          <w:numId w:val="3"/>
        </w:numPr>
      </w:pPr>
      <w:r>
        <w:t xml:space="preserve">Least privilege — access is granted only to the minimum resources required for the stated purpose.</w:t>
      </w:r>
    </w:p>
    <w:p>
      <w:pPr>
        <w:pStyle w:val="ListParagraph"/>
        <w:numPr>
          <w:ilvl w:val="0"/>
          <w:numId w:val="3"/>
        </w:numPr>
      </w:pPr>
      <w:r>
        <w:t xml:space="preserve">Assume breach — every component is designed as if the network is already compromised.</w:t>
      </w:r>
    </w:p>
    <w:p>
      <w:pPr>
        <w:pStyle w:val="ListParagraph"/>
        <w:numPr>
          <w:ilvl w:val="0"/>
          <w:numId w:val="3"/>
        </w:numPr>
      </w:pPr>
      <w:r>
        <w:t xml:space="preserve">Micro-segmentation — tenants, classification levels, and critical-infrastructure domains are isolated.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Continuous monitoring and automated response.</w:t>
      </w:r>
    </w:p>
    <w:p>
      <w:pPr>
        <w:spacing w:after="80"/>
      </w:pPr>
      <w:r>
        <w:rPr>
          <w:b/>
          <w:bCs/>
        </w:rPr>
        <w:t xml:space="preserve">Identity &amp; Access:</w:t>
      </w:r>
    </w:p>
    <w:p>
      <w:pPr>
        <w:pStyle w:val="ListParagraph"/>
        <w:numPr>
          <w:ilvl w:val="0"/>
          <w:numId w:val="2"/>
        </w:numPr>
      </w:pPr>
      <w:r>
        <w:t xml:space="preserve">Primary identity provider: Firebase Auth or Auth0 / Entra ID with OIDC, supporting strong MFA and optional hardware-backed keys.</w:t>
      </w:r>
    </w:p>
    <w:p>
      <w:pPr>
        <w:pStyle w:val="ListParagraph"/>
        <w:numPr>
          <w:ilvl w:val="0"/>
          <w:numId w:val="2"/>
        </w:numPr>
      </w:pPr>
      <w:r>
        <w:t xml:space="preserve">Service accounts for system-to-system calls use short-lived tokens and workload identity.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Role-Based Access Control (RBAC) + Attribute-Based Access Control (ABAC) driven by data classification and purpose.</w:t>
      </w:r>
    </w:p>
    <w:p>
      <w:pPr>
        <w:spacing w:after="80"/>
      </w:pPr>
      <w:r>
        <w:rPr>
          <w:b/>
          <w:bCs/>
        </w:rPr>
        <w:t xml:space="preserve">Data Plane Isolation:</w:t>
      </w:r>
    </w:p>
    <w:p>
      <w:pPr>
        <w:pStyle w:val="ListParagraph"/>
        <w:numPr>
          <w:ilvl w:val="0"/>
          <w:numId w:val="2"/>
        </w:numPr>
      </w:pPr>
      <w:r>
        <w:t xml:space="preserve">Tenant isolation by organization (city, county, state agency, nonprofit, research institution).</w:t>
      </w:r>
    </w:p>
    <w:p>
      <w:pPr>
        <w:pStyle w:val="ListParagraph"/>
        <w:numPr>
          <w:ilvl w:val="0"/>
          <w:numId w:val="2"/>
        </w:numPr>
      </w:pPr>
      <w:r>
        <w:t xml:space="preserve">Collection paths change from public/ to tenants/{tenantId}/classification/{level}/...</w:t>
      </w:r>
    </w:p>
    <w:p>
      <w:pPr>
        <w:pStyle w:val="ListParagraph"/>
        <w:numPr>
          <w:ilvl w:val="0"/>
          <w:numId w:val="2"/>
        </w:numPr>
      </w:pPr>
      <w:r>
        <w:t xml:space="preserve">Confidential / PHI / CUI data requires additional encryption with customer-managed keys (CMK) where required by regulation.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Critical-infrastructure telemetry (power, water, emergency) resides in a separate high-assurance partition.</w:t>
      </w:r>
    </w:p>
    <w:p>
      <w:pPr>
        <w:spacing w:after="80"/>
      </w:pPr>
      <w:r>
        <w:rPr>
          <w:b/>
          <w:bCs/>
        </w:rPr>
        <w:t xml:space="preserve">Network &amp; Runtime:</w:t>
      </w:r>
    </w:p>
    <w:p>
      <w:pPr>
        <w:pStyle w:val="ListParagraph"/>
        <w:numPr>
          <w:ilvl w:val="0"/>
          <w:numId w:val="2"/>
        </w:numPr>
      </w:pPr>
      <w:r>
        <w:t xml:space="preserve">All traffic over TLS 1.3; mTLS for service mesh.</w:t>
      </w:r>
    </w:p>
    <w:p>
      <w:pPr>
        <w:pStyle w:val="ListParagraph"/>
        <w:numPr>
          <w:ilvl w:val="0"/>
          <w:numId w:val="2"/>
        </w:numPr>
      </w:pPr>
      <w:r>
        <w:t xml:space="preserve">WAF + API Gateway with rate limiting, anomaly detection, and geo-fencing options.</w:t>
      </w:r>
    </w:p>
    <w:p>
      <w:pPr>
        <w:pStyle w:val="ListParagraph"/>
        <w:numPr>
          <w:ilvl w:val="0"/>
          <w:numId w:val="2"/>
        </w:numPr>
      </w:pPr>
      <w:r>
        <w:t xml:space="preserve">Container / serverless runtime with immutable images, signed artifacts, and continuous vulnerability scanning.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Secrets never stored in client-side code; injected via secure secret manager.</w:t>
      </w:r>
    </w:p>
    <w:p>
      <w:pPr>
        <w:pStyle w:val="Heading2"/>
      </w:pPr>
      <w:r>
        <w:t xml:space="preserve">ADR-003: Open-Source Repository Structure &amp; Contribution Governance</w:t>
      </w:r>
    </w:p>
    <w:p>
      <w:pPr>
        <w:spacing w:after="120"/>
      </w:pPr>
      <w:r>
        <w:t xml:space="preserve">Decision: Publish the entire Tri-State Systems Manager under an OSI-approved open-source license (Apache-2.0 recommended for patent protection and commercial friendliness) with clear contribution, code-of-conduct, and security-reporting policies.</w:t>
      </w:r>
    </w:p>
    <w:p>
      <w:pPr>
        <w:spacing w:after="80"/>
      </w:pPr>
      <w:r>
        <w:rPr>
          <w:b/>
          <w:bCs/>
        </w:rPr>
        <w:t xml:space="preserve">Recommended Repository Layout:</w:t>
      </w:r>
    </w:p>
    <w:p>
      <w:pPr>
        <w:pStyle w:val="ListParagraph"/>
        <w:numPr>
          <w:ilvl w:val="0"/>
          <w:numId w:val="4"/>
        </w:numPr>
      </w:pPr>
      <w:r>
        <w:t xml:space="preserve">/apps/console — React front-end (current Infinite Orchestration Console)</w:t>
      </w:r>
    </w:p>
    <w:p>
      <w:pPr>
        <w:pStyle w:val="ListParagraph"/>
        <w:numPr>
          <w:ilvl w:val="0"/>
          <w:numId w:val="4"/>
        </w:numPr>
      </w:pPr>
      <w:r>
        <w:t xml:space="preserve">/packages/data-contract — JSON Schema + TypeScript types + validation library</w:t>
      </w:r>
    </w:p>
    <w:p>
      <w:pPr>
        <w:pStyle w:val="ListParagraph"/>
        <w:numPr>
          <w:ilvl w:val="0"/>
          <w:numId w:val="4"/>
        </w:numPr>
      </w:pPr>
      <w:r>
        <w:t xml:space="preserve">/packages/trust-fabric — Provenance, hashing, evidence ledger core</w:t>
      </w:r>
    </w:p>
    <w:p>
      <w:pPr>
        <w:pStyle w:val="ListParagraph"/>
        <w:numPr>
          <w:ilvl w:val="0"/>
          <w:numId w:val="4"/>
        </w:numPr>
      </w:pPr>
      <w:r>
        <w:t xml:space="preserve">/packages/ui — Shared design tokens, accessibility components</w:t>
      </w:r>
    </w:p>
    <w:p>
      <w:pPr>
        <w:pStyle w:val="ListParagraph"/>
        <w:numPr>
          <w:ilvl w:val="0"/>
          <w:numId w:val="4"/>
        </w:numPr>
      </w:pPr>
      <w:r>
        <w:t xml:space="preserve">/services/api — Backend services (ingestion, validation, decision-support adapters)</w:t>
      </w:r>
    </w:p>
    <w:p>
      <w:pPr>
        <w:pStyle w:val="ListParagraph"/>
        <w:numPr>
          <w:ilvl w:val="0"/>
          <w:numId w:val="4"/>
        </w:numPr>
      </w:pPr>
      <w:r>
        <w:t xml:space="preserve">/docs — Architecture, ADRs, runbooks, Indiana/NIST mapping</w:t>
      </w:r>
    </w:p>
    <w:p>
      <w:pPr>
        <w:pStyle w:val="ListParagraph"/>
        <w:numPr>
          <w:ilvl w:val="0"/>
          <w:numId w:val="4"/>
        </w:numPr>
      </w:pPr>
      <w:r>
        <w:t xml:space="preserve">/infra — Infrastructure-as-Code (Terraform / Pulumi) for Zero-Trust deployment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/.github — Workflows, CODEOWNERS, SECURITY.md, CONTRIBUTING.md</w:t>
      </w:r>
    </w:p>
    <w:p>
      <w:pPr>
        <w:spacing w:after="80"/>
      </w:pPr>
      <w:r>
        <w:rPr>
          <w:b/>
          <w:bCs/>
        </w:rPr>
        <w:t xml:space="preserve">Contribution Governance:</w:t>
      </w:r>
    </w:p>
    <w:p>
      <w:pPr>
        <w:pStyle w:val="ListParagraph"/>
        <w:numPr>
          <w:ilvl w:val="0"/>
          <w:numId w:val="5"/>
        </w:numPr>
      </w:pPr>
      <w:r>
        <w:t xml:space="preserve">All contributions require a signed Developer Certificate of Origin (DCO).</w:t>
      </w:r>
    </w:p>
    <w:p>
      <w:pPr>
        <w:pStyle w:val="ListParagraph"/>
        <w:numPr>
          <w:ilvl w:val="0"/>
          <w:numId w:val="5"/>
        </w:numPr>
      </w:pPr>
      <w:r>
        <w:t xml:space="preserve">Code of Conduct based on Contributor Covenant, emphasizing respect for every person.</w:t>
      </w:r>
    </w:p>
    <w:p>
      <w:pPr>
        <w:pStyle w:val="ListParagraph"/>
        <w:numPr>
          <w:ilvl w:val="0"/>
          <w:numId w:val="5"/>
        </w:numPr>
      </w:pPr>
      <w:r>
        <w:t xml:space="preserve">Security vulnerabilities reported privately via SECURITY.md; coordinated disclosure.</w:t>
      </w:r>
    </w:p>
    <w:p>
      <w:pPr>
        <w:pStyle w:val="ListParagraph"/>
        <w:numPr>
          <w:ilvl w:val="0"/>
          <w:numId w:val="5"/>
        </w:numPr>
      </w:pPr>
      <w:r>
        <w:t xml:space="preserve">Architecture changes require an ADR; data-contract changes require schema version bump and review.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Stewardship Committee (initially the founding engineer + invited domain experts) retains final authority on merges affecting Trust Planes 1–7 and critical-infrastructure domains.</w:t>
      </w:r>
    </w:p>
    <w:p>
      <w:pPr>
        <w:pStyle w:val="Heading2"/>
      </w:pPr>
      <w:r>
        <w:t xml:space="preserve">ADR-004: Human Authority is Non-Negotiable</w:t>
      </w:r>
    </w:p>
    <w:p>
      <w:pPr>
        <w:spacing w:after="200"/>
      </w:pPr>
      <w:r>
        <w:t xml:space="preserve">Decision: No autonomous subsystem may take action that affects public safety, critical infrastructure, or individual rights without explicit human authorization. Model outputs are decision-support only. This rule is encoded in the Data Contract Schema (human_oversight_required: true by default) and in runtime policy engines.</w:t>
      </w:r>
    </w:p>
    <w:p>
      <w:pPr>
        <w:pStyle w:val="Heading1"/>
      </w:pPr>
      <w:r>
        <w:t xml:space="preserve">4. Gap Remediation Plan</w:t>
      </w:r>
    </w:p>
    <w:p>
      <w:pPr>
        <w:spacing w:after="160"/>
      </w:pPr>
      <w:r>
        <w:t xml:space="preserve">The following gaps were identified in the source analysis. Each is assigned priority, owner class, and target remediation window.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2160"/>
        <w:gridCol w:w="2160"/>
        <w:gridCol w:w="2160"/>
      </w:tblGrid>
      <w:tr>
        <w:tc>
          <w:tcPr>
            <w:tcW w:type="dxa" w:w="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2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Remediation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Anonymous auth + public Firestore paths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Zero-Trust violation; multi-tenant leakage risk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Implement tenant-scoped collections + strong identity + RBAC/ABAC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Phase 1 (30 days)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Client-side secrets / mock Firebase config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Credential exposure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Move all secrets to secret manager; environment injection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Phase 1 (30 days)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Random intervention impact scores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NIST AI RMF validity/reliability failure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Replace with versioned, explainable, human-authorized scoring models + model cards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Phase 2 (60 days)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Client-side only SHA-256; no independent verification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Weak provenance for high-assurance use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Server-side hashing + optional public anchoring / Merkle tree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Phase 2 (60 days)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Accessibility (WCAG 2.2 AA) incomplete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GSA / federal digital service non-compliance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Full audit + alternative non-visual pathways + USWDS token mapping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Phase 2 (60 days)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Critical-infrastructure AI mapping absent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Future NIST CI profile non-readiness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Design Tucker Power &amp; hydro subsystems for NIST AI RMF Critical Infrastructure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Phase 3 (90 days)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formal model cards or AI RMF control evidence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Governance gap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Implement model-card generation and control mapping for every AI 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Phase 3 (90 days)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Open-source publication incomplete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Mission demonstration gap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Publish under Apache-2.0 with full governance files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Phase 1–2</w:t>
            </w:r>
          </w:p>
        </w:tc>
      </w:tr>
    </w:tbl>
    <w:p>
      <w:pPr>
        <w:spacing w:after="200" w:before="200"/>
      </w:pPr>
    </w:p>
    <w:p>
      <w:pPr>
        <w:pStyle w:val="Heading1"/>
      </w:pPr>
      <w:r>
        <w:t xml:space="preserve">5. Deepened Subsystem Designs</w:t>
      </w:r>
    </w:p>
    <w:p>
      <w:pPr>
        <w:pStyle w:val="Heading2"/>
      </w:pPr>
      <w:r>
        <w:t xml:space="preserve">5.1 Evidence Ledger (Trust Plane L2)</w:t>
      </w:r>
    </w:p>
    <w:p>
      <w:pPr>
        <w:spacing w:after="120"/>
      </w:pPr>
      <w:r>
        <w:t xml:space="preserve">Current state provides client-side SHA-256 and a basic table. Target state:</w:t>
      </w:r>
    </w:p>
    <w:p>
      <w:pPr>
        <w:pStyle w:val="ListParagraph"/>
        <w:numPr>
          <w:ilvl w:val="0"/>
          <w:numId w:val="6"/>
        </w:numPr>
      </w:pPr>
      <w:r>
        <w:t xml:space="preserve">Server-side content hashing with optional detached digital signatures.</w:t>
      </w:r>
    </w:p>
    <w:p>
      <w:pPr>
        <w:pStyle w:val="ListParagraph"/>
        <w:numPr>
          <w:ilvl w:val="0"/>
          <w:numId w:val="6"/>
        </w:numPr>
      </w:pPr>
      <w:r>
        <w:t xml:space="preserve">Immutable append-only log (or Merkle-tree structure) for high-assurance evidence.</w:t>
      </w:r>
    </w:p>
    <w:p>
      <w:pPr>
        <w:pStyle w:val="ListParagraph"/>
        <w:numPr>
          <w:ilvl w:val="0"/>
          <w:numId w:val="6"/>
        </w:numPr>
      </w:pPr>
      <w:r>
        <w:t xml:space="preserve">Full lineage graph from Decision Output → Analysis → Model Instance → Input Dataset → Original Source.</w:t>
      </w:r>
    </w:p>
    <w:p>
      <w:pPr>
        <w:pStyle w:val="ListParagraph"/>
        <w:numPr>
          <w:ilvl w:val="0"/>
          <w:numId w:val="6"/>
        </w:numPr>
      </w:pPr>
      <w:r>
        <w:t xml:space="preserve">Tier-aware validation rules (Tier 0–1 require stronger cryptographic and institutional guarantees).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Exportable audit packages suitable for Daubert challenges and public transparency requests.</w:t>
      </w:r>
    </w:p>
    <w:p>
      <w:pPr>
        <w:pStyle w:val="Heading2"/>
      </w:pPr>
      <w:r>
        <w:t xml:space="preserve">5.2 Community Benefit Engine</w:t>
      </w:r>
    </w:p>
    <w:p>
      <w:pPr>
        <w:spacing w:after="120"/>
      </w:pPr>
      <w:r>
        <w:t xml:space="preserve">Current random scores must be replaced. Target design:</w:t>
      </w:r>
    </w:p>
    <w:p>
      <w:pPr>
        <w:pStyle w:val="ListParagraph"/>
        <w:numPr>
          <w:ilvl w:val="0"/>
          <w:numId w:val="6"/>
        </w:numPr>
      </w:pPr>
      <w:r>
        <w:t xml:space="preserve">Versioned, auditable scoring models with published methodology and uncertainty quantification.</w:t>
      </w:r>
    </w:p>
    <w:p>
      <w:pPr>
        <w:pStyle w:val="ListParagraph"/>
        <w:numPr>
          <w:ilvl w:val="0"/>
          <w:numId w:val="6"/>
        </w:numPr>
      </w:pPr>
      <w:r>
        <w:t xml:space="preserve">Model cards covering training data lineage, evaluation results, known limitations, approved/prohibited uses, and human-oversight requirements.</w:t>
      </w:r>
    </w:p>
    <w:p>
      <w:pPr>
        <w:pStyle w:val="ListParagraph"/>
        <w:numPr>
          <w:ilvl w:val="0"/>
          <w:numId w:val="6"/>
        </w:numPr>
      </w:pPr>
      <w:r>
        <w:t xml:space="preserve">Multi-dimensional impact vectors remain (Safety, Economic, Equity, Resilience, Health) but become explainable.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Every proposal requires explicit human authorization before it can influence funding or operational recommendations.</w:t>
      </w:r>
    </w:p>
    <w:p>
      <w:pPr>
        <w:pStyle w:val="Heading2"/>
      </w:pPr>
      <w:r>
        <w:t xml:space="preserve">5.3 Tucker Power &amp; PCM Utilities</w:t>
      </w:r>
    </w:p>
    <w:p>
      <w:pPr>
        <w:spacing w:after="120"/>
      </w:pPr>
      <w:r>
        <w:t xml:space="preserve">Elevate from cosmetic telemetry to a critical-infrastructure-ready subsystem:</w:t>
      </w:r>
    </w:p>
    <w:p>
      <w:pPr>
        <w:pStyle w:val="ListParagraph"/>
        <w:numPr>
          <w:ilvl w:val="0"/>
          <w:numId w:val="6"/>
        </w:numPr>
      </w:pPr>
      <w:r>
        <w:t xml:space="preserve">Map all AI components to the emerging NIST AI RMF Critical Infrastructure profile (April 2026 concept note).</w:t>
      </w:r>
    </w:p>
    <w:p>
      <w:pPr>
        <w:pStyle w:val="ListParagraph"/>
        <w:numPr>
          <w:ilvl w:val="0"/>
          <w:numId w:val="6"/>
        </w:numPr>
      </w:pPr>
      <w:r>
        <w:t xml:space="preserve">Real-time frequency, phase-angle, and capacity monitoring with human-authorized override only.</w:t>
      </w:r>
    </w:p>
    <w:p>
      <w:pPr>
        <w:pStyle w:val="ListParagraph"/>
        <w:numPr>
          <w:ilvl w:val="0"/>
          <w:numId w:val="6"/>
        </w:numPr>
      </w:pPr>
      <w:r>
        <w:t xml:space="preserve">Integration points for future HEC-RAS, Bishop slope-stability, and other deterministic solvers under the same governance.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NFIP / FEMA references remain strictly informational decision-support.</w:t>
      </w:r>
    </w:p>
    <w:p>
      <w:pPr>
        <w:pStyle w:val="Heading2"/>
      </w:pPr>
      <w:r>
        <w:t xml:space="preserve">5.4 3D Visualization Pipeline</w:t>
      </w:r>
    </w:p>
    <w:p>
      <w:pPr>
        <w:spacing w:after="120"/>
      </w:pPr>
      <w:r>
        <w:t xml:space="preserve">The React Three Fiber procedural city and cinematic water shader are already strong. Deepen as follows:</w:t>
      </w:r>
    </w:p>
    <w:p>
      <w:pPr>
        <w:pStyle w:val="ListParagraph"/>
        <w:numPr>
          <w:ilvl w:val="0"/>
          <w:numId w:val="6"/>
        </w:numPr>
      </w:pPr>
      <w:r>
        <w:t xml:space="preserve">Drive geometry from real USGS 3DEP LiDAR and authoritative river-stage observations rather than pure procedural generation where possible.</w:t>
      </w:r>
    </w:p>
    <w:p>
      <w:pPr>
        <w:pStyle w:val="ListParagraph"/>
        <w:numPr>
          <w:ilvl w:val="0"/>
          <w:numId w:val="6"/>
        </w:numPr>
      </w:pPr>
      <w:r>
        <w:t xml:space="preserve">Maintain low-bandwidth fallback and full keyboard / screen-reader pathways.</w:t>
      </w:r>
    </w:p>
    <w:p>
      <w:pPr>
        <w:pStyle w:val="ListParagraph"/>
        <w:numPr>
          <w:ilvl w:val="0"/>
          <w:numId w:val="6"/>
        </w:numPr>
      </w:pPr>
      <w:r>
        <w:t xml:space="preserve">Expose flood-stage scenarios as shareable, provenance-linked evidence objects.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Never allow the visualization layer to become a silent decision engine; it remains an informational and communication tool under human authority.</w:t>
      </w:r>
    </w:p>
    <w:p>
      <w:pPr>
        <w:pStyle w:val="Heading1"/>
      </w:pPr>
      <w:r>
        <w:t xml:space="preserve">6. Implementation Phases</w:t>
      </w:r>
    </w:p>
    <w:p>
      <w:pPr>
        <w:spacing w:after="80"/>
      </w:pPr>
      <w:r>
        <w:rPr>
          <w:b/>
          <w:bCs/>
        </w:rPr>
        <w:t xml:space="preserve">Phase 1 (0–30 days) — Trust Foundation</w:t>
      </w:r>
    </w:p>
    <w:p>
      <w:pPr>
        <w:pStyle w:val="ListParagraph"/>
        <w:numPr>
          <w:ilvl w:val="0"/>
          <w:numId w:val="2"/>
        </w:numPr>
      </w:pPr>
      <w:r>
        <w:t xml:space="preserve">Deploy Zero-Trust identity and tenant isolation.</w:t>
      </w:r>
    </w:p>
    <w:p>
      <w:pPr>
        <w:pStyle w:val="ListParagraph"/>
        <w:numPr>
          <w:ilvl w:val="0"/>
          <w:numId w:val="2"/>
        </w:numPr>
      </w:pPr>
      <w:r>
        <w:t xml:space="preserve">Remove all client-side secrets.</w:t>
      </w:r>
    </w:p>
    <w:p>
      <w:pPr>
        <w:pStyle w:val="ListParagraph"/>
        <w:numPr>
          <w:ilvl w:val="0"/>
          <w:numId w:val="2"/>
        </w:numPr>
      </w:pPr>
      <w:r>
        <w:t xml:space="preserve">Publish Data Contract Schema v1.0.0 and enforce validation.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Initialize open-source repository structure and governance files.</w:t>
      </w:r>
    </w:p>
    <w:p>
      <w:pPr>
        <w:spacing w:after="80"/>
      </w:pPr>
      <w:r>
        <w:rPr>
          <w:b/>
          <w:bCs/>
        </w:rPr>
        <w:t xml:space="preserve">Phase 2 (31–60 days) — Provenance &amp; Explainability</w:t>
      </w:r>
    </w:p>
    <w:p>
      <w:pPr>
        <w:pStyle w:val="ListParagraph"/>
        <w:numPr>
          <w:ilvl w:val="0"/>
          <w:numId w:val="2"/>
        </w:numPr>
      </w:pPr>
      <w:r>
        <w:t xml:space="preserve">Server-side hashing and evidence ledger hardening.</w:t>
      </w:r>
    </w:p>
    <w:p>
      <w:pPr>
        <w:pStyle w:val="ListParagraph"/>
        <w:numPr>
          <w:ilvl w:val="0"/>
          <w:numId w:val="2"/>
        </w:numPr>
      </w:pPr>
      <w:r>
        <w:t xml:space="preserve">Replace random scores with governed models + model cards.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WCAG 2.2 AA remediation and USWDS alignment.</w:t>
      </w:r>
    </w:p>
    <w:p>
      <w:pPr>
        <w:spacing w:after="80"/>
      </w:pPr>
      <w:r>
        <w:rPr>
          <w:b/>
          <w:bCs/>
        </w:rPr>
        <w:t xml:space="preserve">Phase 3 (61–90 days) — Critical Infrastructure Readiness</w:t>
      </w:r>
    </w:p>
    <w:p>
      <w:pPr>
        <w:pStyle w:val="ListParagraph"/>
        <w:numPr>
          <w:ilvl w:val="0"/>
          <w:numId w:val="2"/>
        </w:numPr>
      </w:pPr>
      <w:r>
        <w:t xml:space="preserve">Map Tucker Power and hydro subsystems to NIST CI AI profile.</w:t>
      </w:r>
    </w:p>
    <w:p>
      <w:pPr>
        <w:pStyle w:val="ListParagraph"/>
        <w:numPr>
          <w:ilvl w:val="0"/>
          <w:numId w:val="2"/>
        </w:numPr>
      </w:pPr>
      <w:r>
        <w:t xml:space="preserve">Full AI RMF control evidence packages.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Public transparency and audit export capabilities.</w:t>
      </w:r>
    </w:p>
    <w:p>
      <w:pPr>
        <w:pStyle w:val="Heading1"/>
      </w:pPr>
      <w:r>
        <w:t xml:space="preserve">7. Success Criteria</w:t>
      </w:r>
    </w:p>
    <w:p>
      <w:pPr>
        <w:pStyle w:val="ListParagraph"/>
        <w:numPr>
          <w:ilvl w:val="0"/>
          <w:numId w:val="2"/>
        </w:numPr>
      </w:pPr>
      <w:r>
        <w:t xml:space="preserve">Every dataset in the catalog validates against the published Data Contract Schema.</w:t>
      </w:r>
    </w:p>
    <w:p>
      <w:pPr>
        <w:pStyle w:val="ListParagraph"/>
        <w:numPr>
          <w:ilvl w:val="0"/>
          <w:numId w:val="2"/>
        </w:numPr>
      </w:pPr>
      <w:r>
        <w:t xml:space="preserve">No public or anonymous write path remains for evidence or intervention data.</w:t>
      </w:r>
    </w:p>
    <w:p>
      <w:pPr>
        <w:pStyle w:val="ListParagraph"/>
        <w:numPr>
          <w:ilvl w:val="0"/>
          <w:numId w:val="2"/>
        </w:numPr>
      </w:pPr>
      <w:r>
        <w:t xml:space="preserve">Every AI-derived score is accompanied by a model card and requires human authorization before operational use.</w:t>
      </w:r>
    </w:p>
    <w:p>
      <w:pPr>
        <w:pStyle w:val="ListParagraph"/>
        <w:numPr>
          <w:ilvl w:val="0"/>
          <w:numId w:val="2"/>
        </w:numPr>
      </w:pPr>
      <w:r>
        <w:t xml:space="preserve">The platform is published as open source under Apache-2.0 with clear contribution and security policies.</w:t>
      </w:r>
    </w:p>
    <w:p>
      <w:pPr>
        <w:pStyle w:val="ListParagraph"/>
        <w:numPr>
          <w:ilvl w:val="0"/>
          <w:numId w:val="2"/>
        </w:numPr>
      </w:pPr>
      <w:r>
        <w:t xml:space="preserve">The system continues to demonstrate, in every interface and every policy, that technology serves people and never rules them.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The Tri-State River Valley has a living example that when God is placed first and open-source technology is stewarded for the common good, anything is possible.</w:t>
      </w:r>
    </w:p>
    <w:p>
      <w:pPr>
        <w:pStyle w:val="Heading1"/>
      </w:pPr>
      <w:r>
        <w:t xml:space="preserve">8. Approval</w:t>
      </w:r>
    </w:p>
    <w:p>
      <w:pPr>
        <w:spacing w:after="120"/>
      </w:pPr>
      <w:r>
        <w:t xml:space="preserve">This Architecture Decision Record and Gap Remediation Plan is submitted for formal approval. Upon acceptance, all subsequent development of the Tri-State Systems Manager Infinite Orchestration Console shall conform to the decisions and phases herein.</w:t>
      </w:r>
    </w:p>
    <w:p>
      <w:pPr>
        <w:spacing w:after="80"/>
      </w:pPr>
      <w:r>
        <w:rPr>
          <w:b/>
          <w:bCs/>
        </w:rPr>
        <w:t xml:space="preserve">Prepared by: </w:t>
      </w:r>
      <w:r>
        <w:t xml:space="preserve">Senior Software Engineer, TuckerInc.82 Public-Interest Architecture</w:t>
      </w:r>
    </w:p>
    <w:p>
      <w:pPr>
        <w:spacing w:after="80"/>
      </w:pPr>
      <w:r>
        <w:rPr>
          <w:b/>
          <w:bCs/>
        </w:rPr>
        <w:t xml:space="preserve">Date: </w:t>
      </w:r>
      <w:r>
        <w:t xml:space="preserve">19 August 2026</w:t>
      </w:r>
    </w:p>
    <w:p>
      <w:pPr>
        <w:spacing w:after="200"/>
      </w:pPr>
      <w:r>
        <w:rPr>
          <w:b/>
          <w:bCs/>
        </w:rPr>
        <w:t xml:space="preserve">Status: </w:t>
      </w:r>
      <w:r>
        <w:t xml:space="preserve">Ready for Approval — All requested artifacts delivered.</w:t>
      </w:r>
    </w:p>
    <w:p>
      <w:pPr>
        <w:spacing w:before="300"/>
        <w:jc w:val="center"/>
      </w:pPr>
      <w:r>
        <w:rPr>
          <w:i/>
          <w:iCs/>
          <w:color w:val="666666"/>
          <w:sz w:val="18"/>
          <w:szCs w:val="18"/>
        </w:rPr>
        <w:t xml:space="preserve">— End of Architecture Decision Record —</w:t>
      </w:r>
    </w:p>
    <w:p>
      <w:pPr>
        <w:spacing w:before="80"/>
        <w:jc w:val="center"/>
      </w:pPr>
      <w:r>
        <w:rPr>
          <w:color w:val="1E3A5F"/>
          <w:sz w:val="16"/>
          <w:szCs w:val="16"/>
        </w:rPr>
        <w:t xml:space="preserve">God First  •  Serve Everyone  •  Open Source for the Common Good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|  CONFIDENTIAL – Public Interest Architecture  |  2026-08-19  |  God First • Serve Everyone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TuckerInc.82  |  Tri-State Systems Manager</w:t>
    </w:r>
    <w:r>
      <w:rPr>
        <w:rFonts w:ascii="Arial" w:cs="Arial" w:eastAsia="Arial" w:hAnsi="Arial"/>
        <w:color w:val="666666"/>
        <w:sz w:val="18"/>
        <w:szCs w:val="18"/>
      </w:rPr>
      <w:t xml:space="preserve">  •  Architecture Decision Record &amp; Gap Remediation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A8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E6A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2026-08-19T19:19:52.996Z</dcterms:created>
  <dcterms:modified xsi:type="dcterms:W3CDTF">2026-08-19T19:19:52.996Z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