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PHASE 1 IMPLEMENTATION PLAN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5A8F"/>
          <w:sz w:val="20"/>
          <w:szCs w:val="20"/>
        </w:rPr>
        <w:t xml:space="preserve">Unified Tri-State Systems Manager / Community Systems OS</w:t>
      </w:r>
    </w:p>
    <w:p>
      <w:pPr>
        <w:spacing w:after="160"/>
        <w:jc w:val="center"/>
      </w:pPr>
      <w:r>
        <w:rPr>
          <w:rFonts w:ascii="Arial" w:cs="Arial" w:eastAsia="Arial" w:hAnsi="Arial"/>
          <w:sz w:val="16"/>
          <w:szCs w:val="16"/>
        </w:rPr>
        <w:t xml:space="preserve">Integrating all source modules • React Router v7 • NIST SP 800-207 • FEMA/USACE/NOAA/ArcGIS/In.gov data  |  19 August 2026</w:t>
      </w:r>
    </w:p>
    <w:p>
      <w:pPr>
        <w:pStyle w:val="Heading1"/>
      </w:pPr>
      <w:r>
        <w:t xml:space="preserve">1. Purpose</w:t>
      </w:r>
    </w:p>
    <w:p>
      <w:pPr>
        <w:spacing w:after="100"/>
      </w:pPr>
      <w:r>
        <w:t xml:space="preserve">This Phase 1 plan unifies four source artifacts (Human Needs Graph, Unified Community Systems Platform, Platform OS, and the Tri-State River Valley HTML portal) into a single production-ready architecture. It incorporates React Router v7 loaders for data-driven navigation, full NIST SP 800-207 Zero Trust Architecture, and authoritative federal/state data sources for Posey County and the Tri-State River Valley.</w:t>
      </w:r>
    </w:p>
    <w:p>
      <w:pPr>
        <w:spacing w:after="160"/>
      </w:pPr>
      <w:r>
        <w:rPr>
          <w:b/>
          <w:bCs/>
        </w:rPr>
        <w:t xml:space="preserve">Governing rule remains absolute: </w:t>
      </w:r>
      <w:r>
        <w:t xml:space="preserve">The system informs people; it does not silently govern people. Human authority is final. Technology serves every member of the Tri-State River Valley.</w:t>
      </w:r>
    </w:p>
    <w:p>
      <w:pPr>
        <w:pStyle w:val="Heading1"/>
      </w:pPr>
      <w:r>
        <w:t xml:space="preserve">2. Source Inventory &amp; Integration Map</w:t>
      </w:r>
    </w:p>
    <w:p>
      <w:pPr>
        <w:spacing w:after="80"/>
      </w:pPr>
      <w:r>
        <w:t xml:space="preserve">The four uploaded sources are mapped as follows into the unified platform: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TuckerInc.82_Human_Needs_Graph.txt → </w:t>
      </w:r>
      <w:r>
        <w:t xml:space="preserve">Spatial hierarchy (Region → County → Township → Municipality), CASOA-aligned needs metrics (housing, mobility, healthcare, employment, food, safety, education), Intervention Matcher.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TuckerInc.82_Unified_Community_Systems_Platform.txt → </w:t>
      </w:r>
      <w:r>
        <w:t xml:space="preserve">Full sidebar navigation, Eight Trust Planes, Evidence Ledger, Data Lineage Registry, Medical Sandbox, Benefit Engine, Human Needs Graph (already combined).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TuckerInc.82_Platform_OS.txt → </w:t>
      </w:r>
      <w:r>
        <w:t xml:space="preserve">Core OS shell, Evidence Ledger + Benefit Engine baseline, SHA-256 provenance, Charter views.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Tri-State_River_Valley_Community_Platform.html → </w:t>
      </w:r>
      <w:r>
        <w:t xml:space="preserve">Public-facing portal pattern (Overview, Geospatial/Leaflet map, Community Aid directory, Regulatory &amp; Provenance ledger), accessibility and low-bandwidth posture.</w:t>
      </w:r>
    </w:p>
    <w:p>
      <w:pPr>
        <w:pStyle w:val="Heading1"/>
      </w:pPr>
      <w:r>
        <w:t xml:space="preserve">3. React Router v7 Loaders Strategy</w:t>
      </w:r>
    </w:p>
    <w:p>
      <w:pPr>
        <w:spacing w:after="80"/>
      </w:pPr>
      <w:r>
        <w:t xml:space="preserve">Phase 1 replaces all activeTab state switching with React Router v7 data routers. Loaders fetch data before the component renders, eliminating the render → spinner → fetch waterfall.</w:t>
      </w:r>
    </w:p>
    <w:p>
      <w:pPr>
        <w:pStyle w:val="Heading2"/>
      </w:pPr>
      <w:r>
        <w:t xml:space="preserve">3.1 Route Map</w:t>
      </w:r>
    </w:p>
    <w:p>
      <w:pPr>
        <w:pStyle w:val="ListParagraph"/>
        <w:numPr>
          <w:ilvl w:val="0"/>
          <w:numId w:val="2"/>
        </w:numPr>
      </w:pPr>
      <w:r>
        <w:t xml:space="preserve">/  → Charter &amp; Memorial (static + light metadata loader)</w:t>
      </w:r>
    </w:p>
    <w:p>
      <w:pPr>
        <w:pStyle w:val="ListParagraph"/>
        <w:numPr>
          <w:ilvl w:val="0"/>
          <w:numId w:val="2"/>
        </w:numPr>
      </w:pPr>
      <w:r>
        <w:t xml:space="preserve">/architecture  → Eight Trust Planes</w:t>
      </w:r>
    </w:p>
    <w:p>
      <w:pPr>
        <w:pStyle w:val="ListParagraph"/>
        <w:numPr>
          <w:ilvl w:val="0"/>
          <w:numId w:val="2"/>
        </w:numPr>
      </w:pPr>
      <w:r>
        <w:t xml:space="preserve">/needs  → Human Needs Graph (loader pulls spatial + metrics for selected location)</w:t>
      </w:r>
    </w:p>
    <w:p>
      <w:pPr>
        <w:pStyle w:val="ListParagraph"/>
        <w:numPr>
          <w:ilvl w:val="0"/>
          <w:numId w:val="2"/>
        </w:numPr>
      </w:pPr>
      <w:r>
        <w:t xml:space="preserve">/ledger  → Evidence Ledger (loader returns recent blocks + Merkle root if available)</w:t>
      </w:r>
    </w:p>
    <w:p>
      <w:pPr>
        <w:pStyle w:val="ListParagraph"/>
        <w:numPr>
          <w:ilvl w:val="0"/>
          <w:numId w:val="2"/>
        </w:numPr>
      </w:pPr>
      <w:r>
        <w:t xml:space="preserve">/lineage  → Data Contract Catalog</w:t>
      </w:r>
    </w:p>
    <w:p>
      <w:pPr>
        <w:pStyle w:val="ListParagraph"/>
        <w:numPr>
          <w:ilvl w:val="0"/>
          <w:numId w:val="2"/>
        </w:numPr>
      </w:pPr>
      <w:r>
        <w:t xml:space="preserve">/sandbox  → Medical / Public Health R&amp;D Sandbox</w:t>
      </w:r>
    </w:p>
    <w:p>
      <w:pPr>
        <w:pStyle w:val="ListParagraph"/>
        <w:numPr>
          <w:ilvl w:val="0"/>
          <w:numId w:val="2"/>
        </w:numPr>
      </w:pPr>
      <w:r>
        <w:t xml:space="preserve">/benefit  → Community Benefit Engine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/map  → Geospatial Infrastructure (Leaflet / future ArcGIS)</w:t>
      </w:r>
    </w:p>
    <w:p>
      <w:pPr>
        <w:pStyle w:val="Heading2"/>
      </w:pPr>
      <w:r>
        <w:t xml:space="preserve">3.2 Loader Best Practices (v7)</w:t>
      </w:r>
    </w:p>
    <w:p>
      <w:pPr>
        <w:pStyle w:val="ListParagraph"/>
        <w:numPr>
          <w:ilvl w:val="0"/>
          <w:numId w:val="3"/>
        </w:numPr>
      </w:pPr>
      <w:r>
        <w:t xml:space="preserve">Run independent fetches in parallel with Promise.all inside each loader.</w:t>
      </w:r>
    </w:p>
    <w:p>
      <w:pPr>
        <w:pStyle w:val="ListParagraph"/>
        <w:numPr>
          <w:ilvl w:val="0"/>
          <w:numId w:val="3"/>
        </w:numPr>
      </w:pPr>
      <w:r>
        <w:t xml:space="preserve">Keep loaders focused: one loader per route, returning only the data that route needs.</w:t>
      </w:r>
    </w:p>
    <w:p>
      <w:pPr>
        <w:pStyle w:val="ListParagraph"/>
        <w:numPr>
          <w:ilvl w:val="0"/>
          <w:numId w:val="3"/>
        </w:numPr>
      </w:pPr>
      <w:r>
        <w:t xml:space="preserve">Use clientLoader for purely client-side data when server rendering is not required.</w:t>
      </w:r>
    </w:p>
    <w:p>
      <w:pPr>
        <w:pStyle w:val="ListParagraph"/>
        <w:numPr>
          <w:ilvl w:val="0"/>
          <w:numId w:val="3"/>
        </w:numPr>
      </w:pPr>
      <w:r>
        <w:t xml:space="preserve">Leverage granular route.lazy so Component and loader can be code-split independently.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Protect every data-bearing route with an auth loader that enforces Zero-Trust identity before any collection is read.</w:t>
      </w:r>
    </w:p>
    <w:p>
      <w:pPr>
        <w:pStyle w:val="Heading1"/>
      </w:pPr>
      <w:r>
        <w:t xml:space="preserve">4. NIST SP 800-207 Zero Trust Architecture</w:t>
      </w:r>
    </w:p>
    <w:p>
      <w:pPr>
        <w:spacing w:after="80"/>
      </w:pPr>
      <w:r>
        <w:t xml:space="preserve">NIST SP 800-207 defines Zero Trust Architecture (ZTA). Phase 1 implements its core tenets:</w:t>
      </w:r>
    </w:p>
    <w:p>
      <w:pPr>
        <w:pStyle w:val="ListParagraph"/>
        <w:numPr>
          <w:ilvl w:val="0"/>
          <w:numId w:val="2"/>
        </w:numPr>
      </w:pPr>
      <w:r>
        <w:t xml:space="preserve">All data sources and computing services are resources.</w:t>
      </w:r>
    </w:p>
    <w:p>
      <w:pPr>
        <w:pStyle w:val="ListParagraph"/>
        <w:numPr>
          <w:ilvl w:val="0"/>
          <w:numId w:val="2"/>
        </w:numPr>
      </w:pPr>
      <w:r>
        <w:t xml:space="preserve">Secure communications regardless of network location.</w:t>
      </w:r>
    </w:p>
    <w:p>
      <w:pPr>
        <w:pStyle w:val="ListParagraph"/>
        <w:numPr>
          <w:ilvl w:val="0"/>
          <w:numId w:val="2"/>
        </w:numPr>
      </w:pPr>
      <w:r>
        <w:t xml:space="preserve">Per-session access on a least-privilege basis.</w:t>
      </w:r>
    </w:p>
    <w:p>
      <w:pPr>
        <w:pStyle w:val="ListParagraph"/>
        <w:numPr>
          <w:ilvl w:val="0"/>
          <w:numId w:val="2"/>
        </w:numPr>
      </w:pPr>
      <w:r>
        <w:t xml:space="preserve">Access decisions use dynamic policy (identity, device posture, context).</w:t>
      </w:r>
    </w:p>
    <w:p>
      <w:pPr>
        <w:pStyle w:val="ListParagraph"/>
        <w:numPr>
          <w:ilvl w:val="0"/>
          <w:numId w:val="2"/>
        </w:numPr>
      </w:pPr>
      <w:r>
        <w:t xml:space="preserve">Continuous monitoring of asset integrity and security posture.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Collect telemetry to improve posture over time.</w:t>
      </w:r>
    </w:p>
    <w:p>
      <w:pPr>
        <w:spacing w:after="160"/>
      </w:pPr>
      <w:r>
        <w:t xml:space="preserve">Practical Phase 1 mapping: strong identity before any Firestore read/write, tenant-scoped collections, classification-driven access, server-side Merkle roots, and continuous auth state validation. Anonymous auth is eliminated.</w:t>
      </w:r>
    </w:p>
    <w:p>
      <w:pPr>
        <w:pStyle w:val="Heading1"/>
      </w:pPr>
      <w:r>
        <w:t xml:space="preserve">5. Authoritative Data Sources — Posey County &amp; Tri-State River Valley</w:t>
      </w:r>
    </w:p>
    <w:p>
      <w:pPr>
        <w:spacing w:after="80"/>
      </w:pPr>
      <w:r>
        <w:t xml:space="preserve">Phase 1 begins integration of the following public, authoritative sources. All will be registered as Data Contract Schema objects with full provenance:</w:t>
      </w:r>
    </w:p>
    <w:p>
      <w:pPr>
        <w:pStyle w:val="Heading2"/>
      </w:pPr>
      <w:r>
        <w:t xml:space="preserve">5.1 Hydrology &amp; Flood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NOAA / NWS — Ohio River at Mount Vernon (MTVI3): </w:t>
      </w:r>
      <w:r>
        <w:t xml:space="preserve">Gauge 37.9286, -87.8956; Action 28 ft, Minor 35 ft, Moderate 45 ft, Major 52 ft; Record 59.21 ft (1937). Direct feed for real-time stage and forecast.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USGS Streamgages &amp; Flood Event Viewer: </w:t>
      </w:r>
      <w:r>
        <w:t xml:space="preserve">Real-time and historical peak data; STN database for high-water marks.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USACE Louisville District: </w:t>
      </w:r>
      <w:r>
        <w:t xml:space="preserve">Peak discharge tables and Ohio River hydraulic models used in Flood Insurance Studies.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FEMA Flood Insurance Rate Maps (FIRMs) &amp; FIS for Posey County: </w:t>
      </w:r>
      <w:r>
        <w:t xml:space="preserve">Community numbers for Mount Vernon (180389), New Harmony, Poseyville, unincorporated areas; base flood elevations and flood profiles.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Indiana Floodplain Information Portal (INFIP) / DNR Division of Water: </w:t>
      </w:r>
      <w:r>
        <w:t xml:space="preserve">Statewide flood hazard layers, HEC-RAS model library, LiDAR-derived geometry.</w:t>
      </w:r>
    </w:p>
    <w:p>
      <w:pPr>
        <w:pStyle w:val="Heading2"/>
      </w:pPr>
      <w:r>
        <w:t xml:space="preserve">5.2 Geospatial &amp; Infrastructure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ArcGIS / IndianaMap: </w:t>
      </w:r>
      <w:r>
        <w:t xml:space="preserve">Authoritative state spatial data, hydrology layers, watershed boundaries, IDEM water-quality layers.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Indiana DNR DoWORC (Division of Water Online Research Center): </w:t>
      </w:r>
      <w:r>
        <w:t xml:space="preserve">Permit records, floodplain information requests, dam data, local floodplain administrator contacts.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USGS StreamStats Indiana: </w:t>
      </w:r>
      <w:r>
        <w:t xml:space="preserve">Peak-flow frequency estimates and bankfull dimensions for ungaged streams.</w:t>
      </w:r>
    </w:p>
    <w:p>
      <w:pPr>
        <w:pStyle w:val="Heading2"/>
      </w:pPr>
      <w:r>
        <w:t xml:space="preserve">5.3 Community Needs &amp; Grants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Indiana CASOA / FSSA: </w:t>
      </w:r>
      <w:r>
        <w:t xml:space="preserve">Older-adult needs baseline already embedded in Human Needs Graph (housing, mobility, healthcare, etc.).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IDEM / EPA Section 319 GRTS: </w:t>
      </w:r>
      <w:r>
        <w:t xml:space="preserve">Nonpoint-source grant projects and watershed management plans.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In.gov data portals &amp; STATS Indiana: </w:t>
      </w:r>
      <w:r>
        <w:t xml:space="preserve">Demographic, economic, and public-health aggregates for Posey and Vanderburgh Counties.</w:t>
      </w:r>
    </w:p>
    <w:p>
      <w:pPr>
        <w:pStyle w:val="Heading1"/>
      </w:pPr>
      <w:r>
        <w:t xml:space="preserve">6. Phase 1 Work Packages (0–30 Days)</w:t>
      </w:r>
    </w:p>
    <w:p>
      <w:pPr>
        <w:pStyle w:val="Heading2"/>
      </w:pPr>
      <w:r>
        <w:t xml:space="preserve">WP-1: Unified Shell + React Router v7</w:t>
      </w:r>
    </w:p>
    <w:p>
      <w:pPr>
        <w:pStyle w:val="ListParagraph"/>
        <w:numPr>
          <w:ilvl w:val="0"/>
          <w:numId w:val="5"/>
        </w:numPr>
      </w:pPr>
      <w:r>
        <w:t xml:space="preserve">Create single Vite + React + TypeScript application.</w:t>
      </w:r>
    </w:p>
    <w:p>
      <w:pPr>
        <w:pStyle w:val="ListParagraph"/>
        <w:numPr>
          <w:ilvl w:val="0"/>
          <w:numId w:val="5"/>
        </w:numPr>
      </w:pPr>
      <w:r>
        <w:t xml:space="preserve">Implement createBrowserRouter with the route map above.</w:t>
      </w:r>
    </w:p>
    <w:p>
      <w:pPr>
        <w:pStyle w:val="ListParagraph"/>
        <w:numPr>
          <w:ilvl w:val="0"/>
          <w:numId w:val="5"/>
        </w:numPr>
      </w:pPr>
      <w:r>
        <w:t xml:space="preserve">Convert every current activeTab view into a lazy-loaded route module with its own loader.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Root layout retains global header, sidebar, and Trust Fabric status bar.</w:t>
      </w:r>
    </w:p>
    <w:p>
      <w:pPr>
        <w:pStyle w:val="Heading2"/>
      </w:pPr>
      <w:r>
        <w:t xml:space="preserve">WP-2: Zero-Trust Identity (NIST SP 800-207)</w:t>
      </w:r>
    </w:p>
    <w:p>
      <w:pPr>
        <w:pStyle w:val="ListParagraph"/>
        <w:numPr>
          <w:ilvl w:val="0"/>
          <w:numId w:val="5"/>
        </w:numPr>
      </w:pPr>
      <w:r>
        <w:t xml:space="preserve">Replace anonymous auth with strong identity (MFA-capable).</w:t>
      </w:r>
    </w:p>
    <w:p>
      <w:pPr>
        <w:pStyle w:val="ListParagraph"/>
        <w:numPr>
          <w:ilvl w:val="0"/>
          <w:numId w:val="5"/>
        </w:numPr>
      </w:pPr>
      <w:r>
        <w:t xml:space="preserve">Introduce auth loader that blocks all data routes until identity is verified.</w:t>
      </w:r>
    </w:p>
    <w:p>
      <w:pPr>
        <w:pStyle w:val="ListParagraph"/>
        <w:numPr>
          <w:ilvl w:val="0"/>
          <w:numId w:val="5"/>
        </w:numPr>
      </w:pPr>
      <w:r>
        <w:t xml:space="preserve">Move Firestore paths from public/ to tenants/{tenantId}/classification/{level}/.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Remove all client-side secrets; inject via environment / secret manager.</w:t>
      </w:r>
    </w:p>
    <w:p>
      <w:pPr>
        <w:pStyle w:val="Heading2"/>
      </w:pPr>
      <w:r>
        <w:t xml:space="preserve">WP-3: Evidence Ledger + Merkle Foundation</w:t>
      </w:r>
    </w:p>
    <w:p>
      <w:pPr>
        <w:pStyle w:val="ListParagraph"/>
        <w:numPr>
          <w:ilvl w:val="0"/>
          <w:numId w:val="5"/>
        </w:numPr>
      </w:pPr>
      <w:r>
        <w:t xml:space="preserve">Keep existing SHA-256 generation; add server-side recomputation.</w:t>
      </w:r>
    </w:p>
    <w:p>
      <w:pPr>
        <w:pStyle w:val="ListParagraph"/>
        <w:numPr>
          <w:ilvl w:val="0"/>
          <w:numId w:val="5"/>
        </w:numPr>
      </w:pPr>
      <w:r>
        <w:t xml:space="preserve">Introduce Merkle tree (merkletreejs) for the evidence collection; store root with each snapshot.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Expose a verification endpoint that accepts evidence ID + proof + published root.</w:t>
      </w:r>
    </w:p>
    <w:p>
      <w:pPr>
        <w:pStyle w:val="Heading2"/>
      </w:pPr>
      <w:r>
        <w:t xml:space="preserve">WP-4: Data Contract Schema Enforcement</w:t>
      </w:r>
    </w:p>
    <w:p>
      <w:pPr>
        <w:pStyle w:val="ListParagraph"/>
        <w:numPr>
          <w:ilvl w:val="0"/>
          <w:numId w:val="5"/>
        </w:numPr>
      </w:pPr>
      <w:r>
        <w:t xml:space="preserve">Import tsm-data-contract-schema-v1.0.0.json as the single validation standard.</w:t>
      </w:r>
    </w:p>
    <w:p>
      <w:pPr>
        <w:pStyle w:val="ListParagraph"/>
        <w:numPr>
          <w:ilvl w:val="0"/>
          <w:numId w:val="5"/>
        </w:numPr>
      </w:pPr>
      <w:r>
        <w:t xml:space="preserve">Register the first authoritative datasets (NOAA MTVI3, Posey County FIS layers, CASOA aggregate) as validated contracts.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Reject any write that fails schema validation.</w:t>
      </w:r>
    </w:p>
    <w:p>
      <w:pPr>
        <w:pStyle w:val="Heading2"/>
      </w:pPr>
      <w:r>
        <w:t xml:space="preserve">WP-5: Human Needs Graph + Intervention Matcher</w:t>
      </w:r>
    </w:p>
    <w:p>
      <w:pPr>
        <w:pStyle w:val="ListParagraph"/>
        <w:numPr>
          <w:ilvl w:val="0"/>
          <w:numId w:val="5"/>
        </w:numPr>
      </w:pPr>
      <w:r>
        <w:t xml:space="preserve">Preserve spatial hierarchy (Tri-State → Posey / Vanderburgh → townships → Mount Vernon).</w:t>
      </w:r>
    </w:p>
    <w:p>
      <w:pPr>
        <w:pStyle w:val="ListParagraph"/>
        <w:numPr>
          <w:ilvl w:val="0"/>
          <w:numId w:val="5"/>
        </w:numPr>
      </w:pPr>
      <w:r>
        <w:t xml:space="preserve">Keep CASOA-aligned metrics; mark all values as aggregate / de-identified.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Replace Math.random() impact scores with a first governed, versioned scoring stub that requires human authorization.</w:t>
      </w:r>
    </w:p>
    <w:p>
      <w:pPr>
        <w:pStyle w:val="Heading2"/>
      </w:pPr>
      <w:r>
        <w:t xml:space="preserve">WP-6: Geospatial Baseline</w:t>
      </w:r>
    </w:p>
    <w:p>
      <w:pPr>
        <w:pStyle w:val="ListParagraph"/>
        <w:numPr>
          <w:ilvl w:val="0"/>
          <w:numId w:val="5"/>
        </w:numPr>
      </w:pPr>
      <w:r>
        <w:t xml:space="preserve">Port the Leaflet map from the HTML portal into the /map route.</w:t>
      </w:r>
    </w:p>
    <w:p>
      <w:pPr>
        <w:pStyle w:val="ListParagraph"/>
        <w:numPr>
          <w:ilvl w:val="0"/>
          <w:numId w:val="5"/>
        </w:numPr>
      </w:pPr>
      <w:r>
        <w:t xml:space="preserve">Seed markers for Mount Vernon gauge, Point Township flood-impact zones, and community aid nodes.</w:t>
      </w:r>
    </w:p>
    <w:p>
      <w:pPr>
        <w:pStyle w:val="ListParagraph"/>
        <w:numPr>
          <w:ilvl w:val="0"/>
          <w:numId w:val="5"/>
        </w:numPr>
        <w:spacing w:after="160"/>
      </w:pPr>
      <w:r>
        <w:t xml:space="preserve">Prepare adapter stubs for future ArcGIS / INFIP / USGS STN layers.</w:t>
      </w:r>
    </w:p>
    <w:p>
      <w:pPr>
        <w:pStyle w:val="Heading1"/>
      </w:pPr>
      <w:r>
        <w:t xml:space="preserve">7. Phase 1 Success Criteria</w:t>
      </w:r>
    </w:p>
    <w:p>
      <w:pPr>
        <w:pStyle w:val="ListParagraph"/>
        <w:numPr>
          <w:ilvl w:val="0"/>
          <w:numId w:val="2"/>
        </w:numPr>
      </w:pPr>
      <w:r>
        <w:t xml:space="preserve">Single codebase with React Router v7; no activeTab state remains.</w:t>
      </w:r>
    </w:p>
    <w:p>
      <w:pPr>
        <w:pStyle w:val="ListParagraph"/>
        <w:numPr>
          <w:ilvl w:val="0"/>
          <w:numId w:val="2"/>
        </w:numPr>
      </w:pPr>
      <w:r>
        <w:t xml:space="preserve">Every data route protected by Zero-Trust identity (NIST SP 800-207).</w:t>
      </w:r>
    </w:p>
    <w:p>
      <w:pPr>
        <w:pStyle w:val="ListParagraph"/>
        <w:numPr>
          <w:ilvl w:val="0"/>
          <w:numId w:val="2"/>
        </w:numPr>
      </w:pPr>
      <w:r>
        <w:t xml:space="preserve">Evidence Ledger produces and stores Merkle roots; verification endpoint exists.</w:t>
      </w:r>
    </w:p>
    <w:p>
      <w:pPr>
        <w:pStyle w:val="ListParagraph"/>
        <w:numPr>
          <w:ilvl w:val="0"/>
          <w:numId w:val="2"/>
        </w:numPr>
      </w:pPr>
      <w:r>
        <w:t xml:space="preserve">At least three authoritative data contracts registered (NOAA MTVI3, Posey FIS reference, CASOA aggregate).</w:t>
      </w:r>
    </w:p>
    <w:p>
      <w:pPr>
        <w:pStyle w:val="ListParagraph"/>
        <w:numPr>
          <w:ilvl w:val="0"/>
          <w:numId w:val="2"/>
        </w:numPr>
      </w:pPr>
      <w:r>
        <w:t xml:space="preserve">Human Needs Graph and Benefit Engine remain fully functional with human-authorization gates.</w:t>
      </w:r>
    </w:p>
    <w:p>
      <w:pPr>
        <w:pStyle w:val="ListParagraph"/>
        <w:numPr>
          <w:ilvl w:val="0"/>
          <w:numId w:val="2"/>
        </w:numPr>
      </w:pPr>
      <w:r>
        <w:t xml:space="preserve">Geospatial tab displays live or near-live Mount Vernon stage context.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Memorial Charter and the rule “technology informs; humans decide” are visible on the root route.</w:t>
      </w:r>
    </w:p>
    <w:p>
      <w:pPr>
        <w:pStyle w:val="Heading1"/>
      </w:pPr>
      <w:r>
        <w:t xml:space="preserve">8. Immediate Authorization Request</w:t>
      </w:r>
    </w:p>
    <w:p>
      <w:pPr>
        <w:spacing w:after="100"/>
      </w:pPr>
      <w:r>
        <w:t xml:space="preserve">Upon your approval of this Phase 1 plan, engineering will commence with WP-1 (unified shell + React Router v7) and WP-2 (Zero-Trust identity). All subsequent work packages follow the sequence above.</w:t>
      </w:r>
    </w:p>
    <w:p>
      <w:pPr>
        <w:spacing w:after="80"/>
      </w:pPr>
      <w:r>
        <w:rPr>
          <w:b/>
          <w:bCs/>
        </w:rPr>
        <w:t xml:space="preserve">Prepared by: </w:t>
      </w:r>
      <w:r>
        <w:t xml:space="preserve">Senior Software Engineer, TuckerInc.82 Public-Interest Architecture</w:t>
      </w:r>
    </w:p>
    <w:p>
      <w:pPr>
        <w:spacing w:after="160"/>
      </w:pPr>
      <w:r>
        <w:rPr>
          <w:b/>
          <w:bCs/>
        </w:rPr>
        <w:t xml:space="preserve">Date: </w:t>
      </w:r>
      <w:r>
        <w:t xml:space="preserve">19 August 2026  |  Status: Ready for Approval</w:t>
      </w:r>
    </w:p>
    <w:p>
      <w:pPr>
        <w:spacing w:before="200"/>
        <w:jc w:val="center"/>
      </w:pPr>
      <w:r>
        <w:rPr>
          <w:i/>
          <w:iCs/>
          <w:color w:val="666666"/>
          <w:sz w:val="16"/>
          <w:szCs w:val="16"/>
        </w:rPr>
        <w:t xml:space="preserve">— End of Phase 1 Implementation Plan —</w:t>
      </w:r>
    </w:p>
    <w:p>
      <w:pPr>
        <w:spacing w:before="40"/>
        <w:jc w:val="center"/>
      </w:pPr>
      <w:r>
        <w:rPr>
          <w:color w:val="1E3A5F"/>
          <w:sz w:val="14"/>
          <w:szCs w:val="14"/>
        </w:rPr>
        <w:t xml:space="preserve">God First  •  Serve Everyone  •  Open Source for the Common Good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 |  God First • Serve Everyone • Open Source  |  2026-08-19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</w:pPr>
    <w:r>
      <w:rPr>
        <w:rFonts w:ascii="Arial" w:cs="Arial" w:eastAsia="Arial" w:hAnsi="Arial"/>
        <w:b/>
        <w:bCs/>
        <w:color w:val="1E3A5F"/>
        <w:sz w:val="16"/>
        <w:szCs w:val="16"/>
      </w:rPr>
      <w:t xml:space="preserve">TuckerInc.82  |  Tri-State Systems Manager</w:t>
    </w:r>
    <w:r>
      <w:rPr>
        <w:rFonts w:ascii="Arial" w:cs="Arial" w:eastAsia="Arial" w:hAnsi="Arial"/>
        <w:color w:val="666666"/>
        <w:sz w:val="16"/>
        <w:szCs w:val="16"/>
      </w:rPr>
      <w:t xml:space="preserve">  •  Phase 1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A8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E6A9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2026-08-19T19:32:30.195Z</dcterms:created>
  <dcterms:modified xsi:type="dcterms:W3CDTF">2026-08-19T19:32:30.195Z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