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REACT ROUTER v7 LOADERS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&amp; TRI-STATE DIGITAL TWIN INTEGRATION SPECIFICATION</w:t>
      </w:r>
    </w:p>
    <w:p>
      <w:pPr>
        <w:spacing w:after="160"/>
        <w:jc w:val="center"/>
      </w:pPr>
      <w:r>
        <w:rPr>
          <w:rFonts w:ascii="Arial" w:cs="Arial" w:eastAsia="Arial" w:hAnsi="Arial"/>
          <w:sz w:val="15"/>
          <w:szCs w:val="15"/>
        </w:rPr>
        <w:t xml:space="preserve">FEMA • USACE • NOAA • ArcGIS • Site Constants 13101 Bonebank Road  |  Version 1.0  |  19 August 2026</w:t>
      </w:r>
    </w:p>
    <w:p>
      <w:pPr>
        <w:pStyle w:val="Heading1"/>
      </w:pPr>
      <w:r>
        <w:t xml:space="preserve">1. Sovereign Site Constants (Authoritative)</w:t>
      </w:r>
    </w:p>
    <w:p>
      <w:pPr>
        <w:spacing w:after="80"/>
      </w:pPr>
      <w:r>
        <w:t xml:space="preserve">All modeling, evidence, regulatory gating, and visualization for the Tri-State Digital Twin are anchored to the following constants (source: Full Expanded Briefing, normalized to EPSG:2966 / NAVD88):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Site: </w:t>
      </w:r>
      <w:r>
        <w:t xml:space="preserve">13101 Bonebank Road, Point Township, Posey County, Indiana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APN: </w:t>
      </w:r>
      <w:r>
        <w:t xml:space="preserve">65-19-08-100-008.001-010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CRS: </w:t>
      </w:r>
      <w:r>
        <w:t xml:space="preserve">EPSG:2966 (NAD83 / Indiana West, US ft)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Vertical Datum: </w:t>
      </w:r>
      <w:r>
        <w:t xml:space="preserve">NAVD88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BFE: </w:t>
      </w:r>
      <w:r>
        <w:t xml:space="preserve">375.0 ft NAVD88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LAG: </w:t>
      </w:r>
      <w:r>
        <w:t xml:space="preserve">377.2 ft NAVD88  →  +2.2 ft clearance above BFE (LOMA-relevant)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FFE: </w:t>
      </w:r>
      <w:r>
        <w:t xml:space="preserve">382.5 ft NAVD88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Berm Crest: </w:t>
      </w:r>
      <w:r>
        <w:t xml:space="preserve">379.8 ft NAVD88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Bounding envelope: </w:t>
      </w:r>
      <w:r>
        <w:t xml:space="preserve">(-88.0150, 37.8920) → (-87.9850, 37.9150)</w:t>
      </w:r>
    </w:p>
    <w:p>
      <w:pPr>
        <w:spacing w:after="160"/>
      </w:pPr>
      <w:r>
        <w:t xml:space="preserve">These constants are formalized in tsm-site-constants-13101-bonebank.json and MUST be treated as Tier-1 authoritative inputs. No model may override them without a signed human authorization and a new evidence ledger entry.</w:t>
      </w:r>
    </w:p>
    <w:p>
      <w:pPr>
        <w:pStyle w:val="Heading1"/>
      </w:pPr>
      <w:r>
        <w:t xml:space="preserve">2. React Router v7 Loader Architecture</w:t>
      </w:r>
    </w:p>
    <w:p>
      <w:pPr>
        <w:spacing w:after="80"/>
      </w:pPr>
      <w:r>
        <w:t xml:space="preserve">Phase 1 replaces every activeTab switch with a React Router v7 data route. Loaders run before the component renders and may call Zero-Trust identity, Data Contract validation, and authoritative telemetry in parallel.</w:t>
      </w:r>
    </w:p>
    <w:p>
      <w:pPr>
        <w:pStyle w:val="Heading2"/>
      </w:pPr>
      <w:r>
        <w:t xml:space="preserve">2.1 Route + Loader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  (Charter) — </w:t>
      </w:r>
      <w:r>
        <w:t xml:space="preserve">loader returns site constants summary + memorial charter metadata (static, cacheable).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/architecture — </w:t>
      </w:r>
      <w:r>
        <w:t xml:space="preserve">loader returns Eight Trust Planes definition (static).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/needs — </w:t>
      </w:r>
      <w:r>
        <w:t xml:space="preserve">loader accepts ?location= search param; returns CASOA aggregate metrics + spatial hierarchy for the selected node.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/ledger — </w:t>
      </w:r>
      <w:r>
        <w:t xml:space="preserve">loader returns recent evidence blocks + current Merkle root (if available).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/lineage — </w:t>
      </w:r>
      <w:r>
        <w:t xml:space="preserve">loader returns Data Contract catalog entries (validated against tsm-data-contract-schema-v1.0.0.json).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/sandbox — </w:t>
      </w:r>
      <w:r>
        <w:t xml:space="preserve">loader returns medical/public-health sandbox project list (IRB status, tier).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/benefit — </w:t>
      </w:r>
      <w:r>
        <w:t xml:space="preserve">loader returns benefit interventions; scoring remains human-authorized only.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/map  &amp;  /twin — </w:t>
      </w:r>
      <w:r>
        <w:t xml:space="preserve">loader returns site constants, current NOAA/USGS stage context, FEMA zone reference, and bounding envelope for the 3D / Leaflet view.</w:t>
      </w:r>
    </w:p>
    <w:p>
      <w:pPr>
        <w:pStyle w:val="Heading2"/>
      </w:pPr>
      <w:r>
        <w:t xml:space="preserve">2.2 Auth Loader (Zero-Trust Gate)</w:t>
      </w:r>
    </w:p>
    <w:p>
      <w:pPr>
        <w:spacing w:after="80"/>
      </w:pPr>
      <w:r>
        <w:t xml:space="preserve">Every data-bearing route is nested under a parent layout route whose loader:</w:t>
      </w:r>
    </w:p>
    <w:p>
      <w:pPr>
        <w:pStyle w:val="ListParagraph"/>
        <w:numPr>
          <w:ilvl w:val="0"/>
          <w:numId w:val="3"/>
        </w:numPr>
      </w:pPr>
      <w:r>
        <w:t xml:space="preserve">Verifies the authenticated session (no anonymous writes).</w:t>
      </w:r>
    </w:p>
    <w:p>
      <w:pPr>
        <w:pStyle w:val="ListParagraph"/>
        <w:numPr>
          <w:ilvl w:val="0"/>
          <w:numId w:val="3"/>
        </w:numPr>
      </w:pPr>
      <w:r>
        <w:t xml:space="preserve">Resolves tenant + classification context.</w:t>
      </w:r>
    </w:p>
    <w:p>
      <w:pPr>
        <w:pStyle w:val="ListParagraph"/>
        <w:numPr>
          <w:ilvl w:val="0"/>
          <w:numId w:val="3"/>
        </w:numPr>
      </w:pPr>
      <w:r>
        <w:t xml:space="preserve">Throws a redirect to /login (or a 401 Response) if identity is missing or insufficient.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Passes a minimal, non-PII context object downstream to child loaders.</w:t>
      </w:r>
    </w:p>
    <w:p>
      <w:pPr>
        <w:pStyle w:val="Heading2"/>
      </w:pPr>
      <w:r>
        <w:t xml:space="preserve">2.3 Parallel Fetch Pattern</w:t>
      </w:r>
    </w:p>
    <w:p>
      <w:pPr>
        <w:spacing w:after="80"/>
      </w:pPr>
      <w:r>
        <w:t xml:space="preserve">Inside each loader, independent sources are fetched concurrently:</w:t>
      </w:r>
    </w:p>
    <w:p>
      <w:pPr>
        <w:spacing w:after="80"/>
      </w:pPr>
      <w:r>
        <w:rPr>
          <w:rFonts w:ascii="Courier New" w:cs="Courier New" w:eastAsia="Courier New" w:hAnsi="Courier New"/>
          <w:sz w:val="15"/>
          <w:szCs w:val="15"/>
        </w:rPr>
        <w:t xml:space="preserve">const [stage, contracts, evidence] = await Promise.all([fetchNoaaStage(), fetchDataContracts(), fetchRecentEvidence()]);</w:t>
      </w:r>
    </w:p>
    <w:p>
      <w:pPr>
        <w:spacing w:after="160"/>
      </w:pPr>
      <w:r>
        <w:t xml:space="preserve">This eliminates sequential waterfalls and keeps perceived navigation latency low.</w:t>
      </w:r>
    </w:p>
    <w:p>
      <w:pPr>
        <w:pStyle w:val="Heading1"/>
      </w:pPr>
      <w:r>
        <w:t xml:space="preserve">3. FEMA Flood Insurance Data Integration</w:t>
      </w:r>
    </w:p>
    <w:p>
      <w:pPr>
        <w:spacing w:after="80"/>
      </w:pPr>
      <w:r>
        <w:t xml:space="preserve">Phase 1 registers the following FEMA artifacts as Tier-1 Data Contracts: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Posey County FIS &amp; FIRM panels — </w:t>
      </w:r>
      <w:r>
        <w:t xml:space="preserve">Community numbers: Mount Vernon 180389, Posey unincorporated 180209, New Harmony 180210.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NFHL layers — </w:t>
      </w:r>
      <w:r>
        <w:t xml:space="preserve">Floodways, BFEs, cross-sections, Zone A/AE distinctions.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 BFE constant 375.0 ft NAVD88 — </w:t>
      </w:r>
      <w:r>
        <w:t xml:space="preserve">Hard-coded as the regulatory base for 13101 Bonebank Road; used by No-Rise Certifier (ΔWSE ≤ 0.0000 ft).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LOMA / LOMR-F gating — </w:t>
      </w:r>
      <w:r>
        <w:t xml:space="preserve">LAG 377.2 ft provides +2.2 ft natural clearance; LOMA evidence packages must be SHA-256 sealed and human-authorized.</w:t>
      </w:r>
    </w:p>
    <w:p>
      <w:pPr>
        <w:spacing w:after="160"/>
      </w:pPr>
      <w:r>
        <w:t xml:space="preserve">Loader for /map and /twin MUST surface current FEMA zone context and the site BFE/LAG/FFE constants. No automated LOMA submission is permitted; the system only prepares decision-support packages.</w:t>
      </w:r>
    </w:p>
    <w:p>
      <w:pPr>
        <w:pStyle w:val="Heading1"/>
      </w:pPr>
      <w:r>
        <w:t xml:space="preserve">4. USACE &amp; ArcGIS Data Integration</w:t>
      </w:r>
    </w:p>
    <w:p>
      <w:pPr>
        <w:pStyle w:val="Heading2"/>
      </w:pPr>
      <w:r>
        <w:t xml:space="preserve">4.1 USACE Louisville District</w:t>
      </w:r>
    </w:p>
    <w:p>
      <w:pPr>
        <w:pStyle w:val="ListParagraph"/>
        <w:numPr>
          <w:ilvl w:val="0"/>
          <w:numId w:val="2"/>
        </w:numPr>
      </w:pPr>
      <w:r>
        <w:t xml:space="preserve">Peak discharge tables and hydraulic models for the Ohio River (used in Posey County FIS).</w:t>
      </w:r>
    </w:p>
    <w:p>
      <w:pPr>
        <w:pStyle w:val="ListParagraph"/>
        <w:numPr>
          <w:ilvl w:val="0"/>
          <w:numId w:val="2"/>
        </w:numPr>
      </w:pPr>
      <w:r>
        <w:t xml:space="preserve">EM 1110-2-1601 riprap sizing guidance referenced by the regulatory engine.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Section 204 beneficial-reuse and other USACE funding pathways surfaced in the Grant Ledger (informational only).</w:t>
      </w:r>
    </w:p>
    <w:p>
      <w:pPr>
        <w:pStyle w:val="Heading2"/>
      </w:pPr>
      <w:r>
        <w:t xml:space="preserve">4.2 ArcGIS / IndianaMap / Indiana GIO</w:t>
      </w:r>
    </w:p>
    <w:p>
      <w:pPr>
        <w:pStyle w:val="ListParagraph"/>
        <w:numPr>
          <w:ilvl w:val="0"/>
          <w:numId w:val="2"/>
        </w:numPr>
      </w:pPr>
      <w:r>
        <w:t xml:space="preserve">1-m USGS 3DEP DEM (terrain ±0.15 m vertical RMSE target).</w:t>
      </w:r>
    </w:p>
    <w:p>
      <w:pPr>
        <w:pStyle w:val="ListParagraph"/>
        <w:numPr>
          <w:ilvl w:val="0"/>
          <w:numId w:val="2"/>
        </w:numPr>
      </w:pPr>
      <w:r>
        <w:t xml:space="preserve">Indiana GIO 4-band orthoimagery (COGs).</w:t>
      </w:r>
    </w:p>
    <w:p>
      <w:pPr>
        <w:pStyle w:val="ListParagraph"/>
        <w:numPr>
          <w:ilvl w:val="0"/>
          <w:numId w:val="2"/>
        </w:numPr>
      </w:pPr>
      <w:r>
        <w:t xml:space="preserve">NHD/NHDPlus hydrography, NRCS SSURGO soils, WTH GIS parcels.</w:t>
      </w:r>
    </w:p>
    <w:p>
      <w:pPr>
        <w:pStyle w:val="ListParagraph"/>
        <w:numPr>
          <w:ilvl w:val="0"/>
          <w:numId w:val="2"/>
        </w:numPr>
      </w:pPr>
      <w:r>
        <w:t xml:space="preserve">IDNR Best Available Floodplain Layer (BAFM) and DoWORC permit/floodplain records.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Indiana Floodplain Information Portal (INFIP) as the primary public flood-hazard reference layer.</w:t>
      </w:r>
    </w:p>
    <w:p>
      <w:pPr>
        <w:pStyle w:val="Heading1"/>
      </w:pPr>
      <w:r>
        <w:t xml:space="preserve">5. Multi-Physics &amp; Telemetry Context (Read-Only in Phase 1)</w:t>
      </w:r>
    </w:p>
    <w:p>
      <w:pPr>
        <w:spacing w:after="80"/>
      </w:pPr>
      <w:r>
        <w:t xml:space="preserve">The Full Expanded Briefing defines a multi-physics kernel (HEC-RAS 2D, MODFLOW 6, SWMM, Bishop, sediment/scour) with 120 Hz deterministic ticks and Merkle-chain audit logs. Phase 1 does NOT execute these solvers. Instead:</w:t>
      </w:r>
    </w:p>
    <w:p>
      <w:pPr>
        <w:pStyle w:val="ListParagraph"/>
        <w:numPr>
          <w:ilvl w:val="0"/>
          <w:numId w:val="2"/>
        </w:numPr>
      </w:pPr>
      <w:r>
        <w:t xml:space="preserve">Loaders expose the site constants and current NOAA/USGS stage so that future solver runs have a single source of truth.</w:t>
      </w:r>
    </w:p>
    <w:p>
      <w:pPr>
        <w:pStyle w:val="ListParagraph"/>
        <w:numPr>
          <w:ilvl w:val="0"/>
          <w:numId w:val="2"/>
        </w:numPr>
      </w:pPr>
      <w:r>
        <w:t xml:space="preserve">Evidence Ledger is prepared to accept sealed HEC-RAS / No-Rise artifacts.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All future solver outputs MUST be registered as Data Contracts with human_oversight_required: true.</w:t>
      </w:r>
    </w:p>
    <w:p>
      <w:pPr>
        <w:pStyle w:val="Heading1"/>
      </w:pPr>
      <w:r>
        <w:t xml:space="preserve">6. Implementation Checklist (Immediate)</w:t>
      </w:r>
    </w:p>
    <w:p>
      <w:pPr>
        <w:pStyle w:val="ListParagraph"/>
        <w:numPr>
          <w:ilvl w:val="0"/>
          <w:numId w:val="4"/>
        </w:numPr>
      </w:pPr>
      <w:r>
        <w:t xml:space="preserve">Create Vite + React + TypeScript app with React Router v7.</w:t>
      </w:r>
    </w:p>
    <w:p>
      <w:pPr>
        <w:pStyle w:val="ListParagraph"/>
        <w:numPr>
          <w:ilvl w:val="0"/>
          <w:numId w:val="4"/>
        </w:numPr>
      </w:pPr>
      <w:r>
        <w:t xml:space="preserve">Define createBrowserRouter with the route map above; every data route has a loader.</w:t>
      </w:r>
    </w:p>
    <w:p>
      <w:pPr>
        <w:pStyle w:val="ListParagraph"/>
        <w:numPr>
          <w:ilvl w:val="0"/>
          <w:numId w:val="4"/>
        </w:numPr>
      </w:pPr>
      <w:r>
        <w:t xml:space="preserve">Implement parent auth loader (Zero-Trust gate).</w:t>
      </w:r>
    </w:p>
    <w:p>
      <w:pPr>
        <w:pStyle w:val="ListParagraph"/>
        <w:numPr>
          <w:ilvl w:val="0"/>
          <w:numId w:val="4"/>
        </w:numPr>
      </w:pPr>
      <w:r>
        <w:t xml:space="preserve">Import tsm-site-constants-13101-bonebank.json as the single source of elevation/CRS truth.</w:t>
      </w:r>
    </w:p>
    <w:p>
      <w:pPr>
        <w:pStyle w:val="ListParagraph"/>
        <w:numPr>
          <w:ilvl w:val="0"/>
          <w:numId w:val="4"/>
        </w:numPr>
      </w:pPr>
      <w:r>
        <w:t xml:space="preserve">Register FEMA / USACE / NOAA / ArcGIS sources as Data Contract objects.</w:t>
      </w:r>
    </w:p>
    <w:p>
      <w:pPr>
        <w:pStyle w:val="ListParagraph"/>
        <w:numPr>
          <w:ilvl w:val="0"/>
          <w:numId w:val="4"/>
        </w:numPr>
      </w:pPr>
      <w:r>
        <w:t xml:space="preserve">Port Human Needs Graph, Evidence Ledger, Benefit Engine, and Charter views into lazy route modules.</w:t>
      </w:r>
    </w:p>
    <w:p>
      <w:pPr>
        <w:pStyle w:val="ListParagraph"/>
        <w:numPr>
          <w:ilvl w:val="0"/>
          <w:numId w:val="4"/>
        </w:numPr>
      </w:pPr>
      <w:r>
        <w:t xml:space="preserve">Surface BFE 375.0 / LAG 377.2 / FFE 382.5 / Berm 379.8 on /map and /twin.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Keep the Memorial Charter and the rule “technology informs; humans decide” on the root route.</w:t>
      </w:r>
    </w:p>
    <w:p>
      <w:pPr>
        <w:pStyle w:val="Heading1"/>
      </w:pPr>
      <w:r>
        <w:t xml:space="preserve">7. Non-Negotiable Constraints</w:t>
      </w:r>
    </w:p>
    <w:p>
      <w:pPr>
        <w:pStyle w:val="ListParagraph"/>
        <w:numPr>
          <w:ilvl w:val="0"/>
          <w:numId w:val="2"/>
        </w:numPr>
      </w:pPr>
      <w:r>
        <w:t xml:space="preserve">No autonomous LOMA, No-Rise, or emergency-protocol action.</w:t>
      </w:r>
    </w:p>
    <w:p>
      <w:pPr>
        <w:pStyle w:val="ListParagraph"/>
        <w:numPr>
          <w:ilvl w:val="0"/>
          <w:numId w:val="2"/>
        </w:numPr>
      </w:pPr>
      <w:r>
        <w:t xml:space="preserve">No client-side override of BFE / LAG / FFE / CRS constants.</w:t>
      </w:r>
    </w:p>
    <w:p>
      <w:pPr>
        <w:pStyle w:val="ListParagraph"/>
        <w:numPr>
          <w:ilvl w:val="0"/>
          <w:numId w:val="2"/>
        </w:numPr>
      </w:pPr>
      <w:r>
        <w:t xml:space="preserve">All evidence and model outputs remain under human authority.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Technical governance stays religion-neutral and legally non-discriminatory while the mission continues to serve every person in the Tri-State River Valley.</w:t>
      </w:r>
    </w:p>
    <w:p>
      <w:pPr>
        <w:spacing w:before="200"/>
        <w:jc w:val="center"/>
      </w:pPr>
      <w:r>
        <w:rPr>
          <w:i/>
          <w:iCs/>
          <w:color w:val="666666"/>
          <w:sz w:val="15"/>
          <w:szCs w:val="15"/>
        </w:rPr>
        <w:t xml:space="preserve">— End of Specification —</w:t>
      </w:r>
    </w:p>
    <w:p>
      <w:pPr>
        <w:spacing w:before="40"/>
        <w:jc w:val="center"/>
      </w:pPr>
      <w:r>
        <w:rPr>
          <w:color w:val="1E3A5F"/>
          <w:sz w:val="13"/>
          <w:szCs w:val="13"/>
        </w:rPr>
        <w:t xml:space="preserve">God First  •  Serve Everyone  •  Open Source for the Common Good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3"/>
        <w:szCs w:val="13"/>
      </w:rPr>
      <w:t xml:space="preserve">Page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3"/>
        <w:szCs w:val="13"/>
      </w:rPr>
      <w:t xml:space="preserve">  |  God First • Serve Everyone  |  2026-08-19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b/>
        <w:bCs/>
        <w:color w:val="1E3A5F"/>
        <w:sz w:val="15"/>
        <w:szCs w:val="15"/>
      </w:rPr>
      <w:t xml:space="preserve">TuckerInc.82  |  Tri-State Systems Manager</w:t>
    </w:r>
    <w:r>
      <w:rPr>
        <w:rFonts w:ascii="Arial" w:cs="Arial" w:eastAsia="Arial" w:hAnsi="Arial"/>
        <w:color w:val="666666"/>
        <w:sz w:val="15"/>
        <w:szCs w:val="15"/>
      </w:rPr>
      <w:t xml:space="preserve">  •  React Router v7 Loaders + Digital Twin Integration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A8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3E6A9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2026-08-19T19:39:44.495Z</dcterms:created>
  <dcterms:modified xsi:type="dcterms:W3CDTF">2026-08-19T19:39:44.495Z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