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TECHNICAL ADDENDUM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5A8F"/>
          <w:sz w:val="22"/>
          <w:szCs w:val="22"/>
        </w:rPr>
        <w:t xml:space="preserve">React Router Architecture • Merkle Tree Provenance • NIST AI RMF Mapping</w:t>
      </w:r>
    </w:p>
    <w:p>
      <w:pPr>
        <w:spacing w:after="200"/>
        <w:jc w:val="center"/>
      </w:pPr>
      <w:r>
        <w:rPr>
          <w:rFonts w:ascii="Arial" w:cs="Arial" w:eastAsia="Arial" w:hAnsi="Arial"/>
          <w:sz w:val="18"/>
          <w:szCs w:val="18"/>
        </w:rPr>
        <w:t xml:space="preserve">Tri-State Systems Manager — Infinite Orchestration Console  |  Version 1.0  |  19 August 2026</w:t>
      </w:r>
    </w:p>
    <w:p>
      <w:pPr>
        <w:pStyle w:val="Heading1"/>
      </w:pPr>
      <w:r>
        <w:t xml:space="preserve">1. React Router Strategy for the Console (Low Bundle Size)</w:t>
      </w:r>
    </w:p>
    <w:p>
      <w:pPr>
        <w:spacing w:after="100"/>
      </w:pPr>
      <w:r>
        <w:t xml:space="preserve">The current console uses internal state (activeTab) to switch between Charter, Data Fabric, Evidence Ledger, Benefit Engine, Tri-County, and Tucker Power views. Moving to React Router (v7 preferred) with aggressive route-based and component-level code splitting is required to keep initial download size low and enable independent loading of heavy modules (especially the Three.js visualization).</w:t>
      </w:r>
    </w:p>
    <w:p>
      <w:pPr>
        <w:pStyle w:val="Heading2"/>
      </w:pPr>
      <w:r>
        <w:t xml:space="preserve">1.1 Recommended Stack</w:t>
      </w:r>
    </w:p>
    <w:p>
      <w:pPr>
        <w:pStyle w:val="ListParagraph"/>
        <w:numPr>
          <w:ilvl w:val="0"/>
          <w:numId w:val="2"/>
        </w:numPr>
      </w:pPr>
      <w:r>
        <w:t xml:space="preserve">React Router v7 (Data Mode or Framework Mode) — mature ecosystem, loaders, nested routes, granular lazy API (v7.5+).</w:t>
      </w:r>
    </w:p>
    <w:p>
      <w:pPr>
        <w:pStyle w:val="ListParagraph"/>
        <w:numPr>
          <w:ilvl w:val="0"/>
          <w:numId w:val="2"/>
        </w:numPr>
      </w:pPr>
      <w:r>
        <w:t xml:space="preserve">Alternative: TanStack Router if full type-safety and automatic code-splitting are prioritized.</w:t>
      </w:r>
    </w:p>
    <w:p>
      <w:pPr>
        <w:pStyle w:val="ListParagraph"/>
        <w:numPr>
          <w:ilvl w:val="0"/>
          <w:numId w:val="2"/>
        </w:numPr>
      </w:pPr>
      <w:r>
        <w:t xml:space="preserve">Vite + Rolldown (or esbuild) for fast builds and excellent manualChunks / code-splitting support.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React.lazy + Suspense (or the newer route.lazy object API) for every major tab and for the 3D pipeline.</w:t>
      </w:r>
    </w:p>
    <w:p>
      <w:pPr>
        <w:pStyle w:val="Heading2"/>
      </w:pPr>
      <w:r>
        <w:t xml:space="preserve">1.2 Route Structure Mapping Current Tabs</w:t>
      </w:r>
    </w:p>
    <w:p>
      <w:pPr>
        <w:spacing w:after="80"/>
      </w:pPr>
      <w:r>
        <w:t xml:space="preserve">Map each current activeTab value to a dedicated route so the browser only downloads the code required for the visible subsystem:</w:t>
      </w:r>
    </w:p>
    <w:p>
      <w:pPr>
        <w:pStyle w:val="ListParagraph"/>
        <w:numPr>
          <w:ilvl w:val="0"/>
          <w:numId w:val="2"/>
        </w:numPr>
      </w:pPr>
      <w:r>
        <w:t xml:space="preserve">/  → Stewardship Charter (light, always available)</w:t>
      </w:r>
    </w:p>
    <w:p>
      <w:pPr>
        <w:pStyle w:val="ListParagraph"/>
        <w:numPr>
          <w:ilvl w:val="0"/>
          <w:numId w:val="2"/>
        </w:numPr>
      </w:pPr>
      <w:r>
        <w:t xml:space="preserve">/data-fabric  → Data Contract Catalog</w:t>
      </w:r>
    </w:p>
    <w:p>
      <w:pPr>
        <w:pStyle w:val="ListParagraph"/>
        <w:numPr>
          <w:ilvl w:val="0"/>
          <w:numId w:val="2"/>
        </w:numPr>
      </w:pPr>
      <w:r>
        <w:t xml:space="preserve">/ledger  → Evidence Ledger Subsystem</w:t>
      </w:r>
    </w:p>
    <w:p>
      <w:pPr>
        <w:pStyle w:val="ListParagraph"/>
        <w:numPr>
          <w:ilvl w:val="0"/>
          <w:numId w:val="2"/>
        </w:numPr>
      </w:pPr>
      <w:r>
        <w:t xml:space="preserve">/benefit  → Community Benefit Engine</w:t>
      </w:r>
    </w:p>
    <w:p>
      <w:pPr>
        <w:pStyle w:val="ListParagraph"/>
        <w:numPr>
          <w:ilvl w:val="0"/>
          <w:numId w:val="2"/>
        </w:numPr>
      </w:pPr>
      <w:r>
        <w:t xml:space="preserve">/tri-county  → Tri-County Basin Node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/tucker-power  → Tucker Power &amp; PCM Utilities</w:t>
      </w:r>
    </w:p>
    <w:p>
      <w:pPr>
        <w:pStyle w:val="Heading2"/>
      </w:pPr>
      <w:r>
        <w:t xml:space="preserve">1.3 Code-Splitting Pattern (React Router v7.5+ granular lazy)</w:t>
      </w:r>
    </w:p>
    <w:p>
      <w:pPr>
        <w:spacing w:after="80"/>
      </w:pPr>
      <w:r>
        <w:t xml:space="preserve">Use the granular lazy object so loaders and Components can be fetched independently and in parallel. Example pattern:</w:t>
      </w:r>
    </w:p>
    <w:p>
      <w:pPr>
        <w:spacing w:after="80"/>
      </w:pPr>
      <w:r>
        <w:rPr>
          <w:rFonts w:ascii="Courier New" w:cs="Courier New" w:eastAsia="Courier New" w:hAnsi="Courier New"/>
          <w:sz w:val="15"/>
          <w:szCs w:val="15"/>
        </w:rPr>
        <w:t xml:space="preserve">const ledgerRoute = { path: "/ledger", lazy: { loader: async () =&gt; (await import("./routes/ledger/loader")).loader, Component: async () =&gt; (await import("./routes/ledger/LedgerPage")).default } };</w:t>
      </w:r>
    </w:p>
    <w:p>
      <w:pPr>
        <w:spacing w:after="120"/>
      </w:pPr>
      <w:r>
        <w:t xml:space="preserve">Wrap the route tree in &lt;Suspense fallback={&lt;TrustFabricSpinner /&gt;}&gt; and place an ErrorBoundary around heavy 3D and ledger routes.</w:t>
      </w:r>
    </w:p>
    <w:p>
      <w:pPr>
        <w:pStyle w:val="Heading2"/>
      </w:pPr>
      <w:r>
        <w:t xml:space="preserve">1.4 Additional Size &amp; Performance Controls</w:t>
      </w:r>
    </w:p>
    <w:p>
      <w:pPr>
        <w:pStyle w:val="ListParagraph"/>
        <w:numPr>
          <w:ilvl w:val="0"/>
          <w:numId w:val="2"/>
        </w:numPr>
      </w:pPr>
      <w:r>
        <w:t xml:space="preserve">Vite manualChunks: separate react/react-dom, three/@react-three/*, lucide-react, firebase into stable vendor chunks for long-term caching.</w:t>
      </w:r>
    </w:p>
    <w:p>
      <w:pPr>
        <w:pStyle w:val="ListParagraph"/>
        <w:numPr>
          <w:ilvl w:val="0"/>
          <w:numId w:val="2"/>
        </w:numPr>
      </w:pPr>
      <w:r>
        <w:t xml:space="preserve">Lazy-load the entire Canvas + ProceduralCity + CinematicWater + EffectComposer only when the user opens a route that needs the 3D view or toggles low-bandwidth off.</w:t>
      </w:r>
    </w:p>
    <w:p>
      <w:pPr>
        <w:pStyle w:val="ListParagraph"/>
        <w:numPr>
          <w:ilvl w:val="0"/>
          <w:numId w:val="2"/>
        </w:numPr>
      </w:pPr>
      <w:r>
        <w:t xml:space="preserve">Prefetch on hover/intent for critical navigation (e.g., Evidence Ledger ↔ Benefit Engine).</w:t>
      </w:r>
    </w:p>
    <w:p>
      <w:pPr>
        <w:pStyle w:val="ListParagraph"/>
        <w:numPr>
          <w:ilvl w:val="0"/>
          <w:numId w:val="2"/>
        </w:numPr>
      </w:pPr>
      <w:r>
        <w:t xml:space="preserve">Keep the global header, sidebar, and Trust Fabric status bar in the root layout (never code-split).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Target: initial JS payload &lt; 400–600 KB gzipped for the Charter view; each subsequent tab loads only its own chunk.</w:t>
      </w:r>
    </w:p>
    <w:p>
      <w:pPr>
        <w:pStyle w:val="Heading1"/>
      </w:pPr>
      <w:r>
        <w:t xml:space="preserve">2. Merkle Tree Implementation for Cryptographic Provenance</w:t>
      </w:r>
    </w:p>
    <w:p>
      <w:pPr>
        <w:spacing w:after="100"/>
      </w:pPr>
      <w:r>
        <w:t xml:space="preserve">The Evidence Ledger currently uses simple client-side SHA-256 hashes. To achieve high-assurance, Daubert-defensible, and publicly verifiable provenance we elevate to a Merkle tree (hash tree). A Merkle tree allows efficient inclusion proofs and makes any tampering of even a single evidence record detectable by changing the root.</w:t>
      </w:r>
    </w:p>
    <w:p>
      <w:pPr>
        <w:pStyle w:val="Heading2"/>
      </w:pPr>
      <w:r>
        <w:t xml:space="preserve">2.1 Why Merkle Trees</w:t>
      </w:r>
    </w:p>
    <w:p>
      <w:pPr>
        <w:pStyle w:val="ListParagraph"/>
        <w:numPr>
          <w:ilvl w:val="0"/>
          <w:numId w:val="2"/>
        </w:numPr>
      </w:pPr>
      <w:r>
        <w:t xml:space="preserve">O(log n) inclusion proofs — a client can prove a specific evidence block is in the ledger without downloading the entire history.</w:t>
      </w:r>
    </w:p>
    <w:p>
      <w:pPr>
        <w:pStyle w:val="ListParagraph"/>
        <w:numPr>
          <w:ilvl w:val="0"/>
          <w:numId w:val="2"/>
        </w:numPr>
      </w:pPr>
      <w:r>
        <w:t xml:space="preserve">Single root hash can be published or anchored (e.g., to a public transparency log) as the authoritative snapshot.</w:t>
      </w:r>
    </w:p>
    <w:p>
      <w:pPr>
        <w:pStyle w:val="ListParagraph"/>
        <w:numPr>
          <w:ilvl w:val="0"/>
          <w:numId w:val="2"/>
        </w:numPr>
      </w:pPr>
      <w:r>
        <w:t xml:space="preserve">Any alteration of a leaf invalidates the path to the root, providing strong tamper evidence.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Compatible with the existing SHA-256 content_hash field in the Data Contract Schema.</w:t>
      </w:r>
    </w:p>
    <w:p>
      <w:pPr>
        <w:pStyle w:val="Heading2"/>
      </w:pPr>
      <w:r>
        <w:t xml:space="preserve">2.2 Recommended Implementation Approach</w:t>
      </w:r>
    </w:p>
    <w:p>
      <w:pPr>
        <w:spacing w:after="80"/>
      </w:pPr>
      <w:r>
        <w:rPr>
          <w:b/>
          <w:bCs/>
        </w:rPr>
        <w:t xml:space="preserve">Library: </w:t>
      </w:r>
      <w:r>
        <w:t xml:space="preserve">merkletreejs (mature, TypeScript-friendly, supports SHA-256 / keccak256, proofs, multi-proofs) or @openzeppelin/merkle-tree if future on-chain verification is contemplated.</w:t>
      </w:r>
    </w:p>
    <w:p>
      <w:pPr>
        <w:spacing w:after="80"/>
      </w:pPr>
      <w:r>
        <w:rPr>
          <w:b/>
          <w:bCs/>
        </w:rPr>
        <w:t xml:space="preserve">Security notes (must follow):</w:t>
      </w:r>
    </w:p>
    <w:p>
      <w:pPr>
        <w:pStyle w:val="ListParagraph"/>
        <w:numPr>
          <w:ilvl w:val="0"/>
          <w:numId w:val="2"/>
        </w:numPr>
      </w:pPr>
      <w:r>
        <w:t xml:space="preserve">Use domain separation: hash leaves with a different prefix or function than internal nodes to mitigate second-preimage attacks.</w:t>
      </w:r>
    </w:p>
    <w:p>
      <w:pPr>
        <w:pStyle w:val="ListParagraph"/>
        <w:numPr>
          <w:ilvl w:val="0"/>
          <w:numId w:val="2"/>
        </w:numPr>
      </w:pPr>
      <w:r>
        <w:t xml:space="preserve">Prefer balanced / complete trees or explicit padding rules; reject unbalanced constructions that enable forgery.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Always recompute the tree server-side on every append; never trust a client-supplied root.</w:t>
      </w:r>
    </w:p>
    <w:p>
      <w:pPr>
        <w:pStyle w:val="Heading2"/>
      </w:pPr>
      <w:r>
        <w:t xml:space="preserve">2.3 Operational Flow for the Evidence Ledger</w:t>
      </w:r>
    </w:p>
    <w:p>
      <w:pPr>
        <w:pStyle w:val="ListParagraph"/>
        <w:numPr>
          <w:ilvl w:val="0"/>
          <w:numId w:val="3"/>
        </w:numPr>
      </w:pPr>
      <w:r>
        <w:t xml:space="preserve">On evidence submission the server validates the payload against the Data Contract Schema, computes the leaf = SHA-256(canonical JSON of the evidence record), and appends it.</w:t>
      </w:r>
    </w:p>
    <w:p>
      <w:pPr>
        <w:pStyle w:val="ListParagraph"/>
        <w:numPr>
          <w:ilvl w:val="0"/>
          <w:numId w:val="3"/>
        </w:numPr>
      </w:pPr>
      <w:r>
        <w:t xml:space="preserve">The Merkle tree is rebuilt (or incrementally updated) and the new root is stored with the ledger snapshot.</w:t>
      </w:r>
    </w:p>
    <w:p>
      <w:pPr>
        <w:pStyle w:val="ListParagraph"/>
        <w:numPr>
          <w:ilvl w:val="0"/>
          <w:numId w:val="3"/>
        </w:numPr>
      </w:pPr>
      <w:r>
        <w:t xml:space="preserve">Each evidence record stores its leaf hash + the sibling path (proof) needed to reach the current root.</w:t>
      </w:r>
    </w:p>
    <w:p>
      <w:pPr>
        <w:pStyle w:val="ListParagraph"/>
        <w:numPr>
          <w:ilvl w:val="0"/>
          <w:numId w:val="3"/>
        </w:numPr>
      </w:pPr>
      <w:r>
        <w:t xml:space="preserve">Periodic roots can be published or anchored for public transparency.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Verification endpoint: given evidence ID + claimed proof + published root, any party can verify inclusion without access to the full ledger.</w:t>
      </w:r>
    </w:p>
    <w:p>
      <w:pPr>
        <w:pStyle w:val="Heading1"/>
      </w:pPr>
      <w:r>
        <w:t xml:space="preserve">3. NIST AI RMF Profiles — Exploration &amp; Mapping</w:t>
      </w:r>
    </w:p>
    <w:p>
      <w:pPr>
        <w:spacing w:after="100"/>
      </w:pPr>
      <w:r>
        <w:t xml:space="preserve">The NIST AI Risk Management Framework (AI RMF 1.0) is organized around four core functions: GOVERN → MAP → MEASURE → MANAGE. Profiles are context-specific instantiations of these functions.</w:t>
      </w:r>
    </w:p>
    <w:p>
      <w:pPr>
        <w:pStyle w:val="Heading2"/>
      </w:pPr>
      <w:r>
        <w:t xml:space="preserve">3.1 Core AI RMF</w:t>
      </w:r>
    </w:p>
    <w:p>
      <w:pPr>
        <w:pStyle w:val="ListParagraph"/>
        <w:numPr>
          <w:ilvl w:val="0"/>
          <w:numId w:val="2"/>
        </w:numPr>
      </w:pPr>
      <w:r>
        <w:t xml:space="preserve">GOVERN — culture, policies, roles, accountability, and transparency of risk management.</w:t>
      </w:r>
    </w:p>
    <w:p>
      <w:pPr>
        <w:pStyle w:val="ListParagraph"/>
        <w:numPr>
          <w:ilvl w:val="0"/>
          <w:numId w:val="2"/>
        </w:numPr>
      </w:pPr>
      <w:r>
        <w:t xml:space="preserve">MAP — context establishment, categorization of systems, identification of risks and impacts.</w:t>
      </w:r>
    </w:p>
    <w:p>
      <w:pPr>
        <w:pStyle w:val="ListParagraph"/>
        <w:numPr>
          <w:ilvl w:val="0"/>
          <w:numId w:val="2"/>
        </w:numPr>
      </w:pPr>
      <w:r>
        <w:t xml:space="preserve">MEASURE — quantitative and qualitative assessment of trustworthiness characteristics (validity, safety, security, accountability, explainability, privacy, fairness).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— prioritization, response, monitoring, and continuous improvement.</w:t>
      </w:r>
    </w:p>
    <w:p>
      <w:pPr>
        <w:pStyle w:val="Heading2"/>
      </w:pPr>
      <w:r>
        <w:t xml:space="preserve">3.2 Existing &amp; Emerging Profiles</w:t>
      </w:r>
    </w:p>
    <w:p>
      <w:pPr>
        <w:pStyle w:val="ListParagraph"/>
        <w:numPr>
          <w:ilvl w:val="0"/>
          <w:numId w:val="2"/>
        </w:numPr>
      </w:pPr>
      <w:r>
        <w:t xml:space="preserve">Generative AI Profile (NIST AI 600-1, July 2024) — addresses confabulation, prompt injection, data privacy exposure, and other GenAI-specific risks.</w:t>
      </w:r>
    </w:p>
    <w:p>
      <w:pPr>
        <w:pStyle w:val="ListParagraph"/>
        <w:numPr>
          <w:ilvl w:val="0"/>
          <w:numId w:val="2"/>
        </w:numPr>
      </w:pPr>
      <w:r>
        <w:t xml:space="preserve">Cybersecurity Framework Profile for AI (under development / preliminary drafts 2025–2026) — securing AI systems and using AI for cyber defense.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Trustworthy AI in Critical Infrastructure Profile (Concept Note released 7 April 2026) — </w:t>
      </w:r>
      <w:r>
        <w:t xml:space="preserve">directly relevant to Tucker Power, hydro, emergency management, and any OT/ICS-connected subsystem. The profile will guide CI operators on risk practices when engaging AI-enabled capabilities across IT, OT, and ICS.</w:t>
      </w:r>
    </w:p>
    <w:p>
      <w:pPr>
        <w:pStyle w:val="Heading2"/>
      </w:pPr>
      <w:r>
        <w:t xml:space="preserve">3.3 Mapping TSM Subsystems to AI RMF + CI Profile</w:t>
      </w:r>
    </w:p>
    <w:p>
      <w:pPr>
        <w:spacing w:after="80"/>
      </w:pPr>
      <w:r>
        <w:t xml:space="preserve">Every AI-influenced component (Benefit Engine scoring, flood modeling, power telemetry analytics, etc.) must carry:</w:t>
      </w:r>
    </w:p>
    <w:p>
      <w:pPr>
        <w:pStyle w:val="ListParagraph"/>
        <w:numPr>
          <w:ilvl w:val="0"/>
          <w:numId w:val="4"/>
        </w:numPr>
      </w:pPr>
      <w:r>
        <w:t xml:space="preserve">Model card (training data lineage, evaluation results, known limitations, approved/prohibited uses, human-oversight requirement).</w:t>
      </w:r>
    </w:p>
    <w:p>
      <w:pPr>
        <w:pStyle w:val="ListParagraph"/>
        <w:numPr>
          <w:ilvl w:val="0"/>
          <w:numId w:val="4"/>
        </w:numPr>
      </w:pPr>
      <w:r>
        <w:t xml:space="preserve">Explicit GOVERN documentation (who is accountable, what policies apply).</w:t>
      </w:r>
    </w:p>
    <w:p>
      <w:pPr>
        <w:pStyle w:val="ListParagraph"/>
        <w:numPr>
          <w:ilvl w:val="0"/>
          <w:numId w:val="4"/>
        </w:numPr>
      </w:pPr>
      <w:r>
        <w:t xml:space="preserve">MAP of context and potential harms (especially for critical-infrastructure domains).</w:t>
      </w:r>
    </w:p>
    <w:p>
      <w:pPr>
        <w:pStyle w:val="ListParagraph"/>
        <w:numPr>
          <w:ilvl w:val="0"/>
          <w:numId w:val="4"/>
        </w:numPr>
      </w:pPr>
      <w:r>
        <w:t xml:space="preserve">MEASURE metrics for validity, safety, security, explainability, and fairness.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MANAGE plan that includes human authorization gates, monitoring, rollback, and retirement.</w:t>
      </w:r>
    </w:p>
    <w:p>
      <w:pPr>
        <w:pStyle w:val="Heading1"/>
      </w:pPr>
      <w:r>
        <w:t xml:space="preserve">4. Execution of the Five Hardening Directives</w:t>
      </w:r>
    </w:p>
    <w:p>
      <w:pPr>
        <w:pStyle w:val="Heading2"/>
      </w:pPr>
      <w:r>
        <w:t xml:space="preserve">4.1 Harden the Trust Fabric</w:t>
      </w:r>
    </w:p>
    <w:p>
      <w:pPr>
        <w:pStyle w:val="ListParagraph"/>
        <w:numPr>
          <w:ilvl w:val="0"/>
          <w:numId w:val="5"/>
        </w:numPr>
      </w:pPr>
      <w:r>
        <w:t xml:space="preserve">Replace anonymous auth with strong identity (MFA, optional hardware keys) and tenant-scoped collections.</w:t>
      </w:r>
    </w:p>
    <w:p>
      <w:pPr>
        <w:pStyle w:val="ListParagraph"/>
        <w:numPr>
          <w:ilvl w:val="0"/>
          <w:numId w:val="5"/>
        </w:numPr>
      </w:pPr>
      <w:r>
        <w:t xml:space="preserve">Enforce classification-driven data planes (public / internal / restricted / confidential).</w:t>
      </w:r>
    </w:p>
    <w:p>
      <w:pPr>
        <w:pStyle w:val="ListParagraph"/>
        <w:numPr>
          <w:ilvl w:val="0"/>
          <w:numId w:val="5"/>
        </w:numPr>
      </w:pPr>
      <w:r>
        <w:t xml:space="preserve">Move all hashing and Merkle root computation to the server; expose only verification endpoints.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Implement continuous logging, anomaly detection, and least-privilege RBAC/ABAC.</w:t>
      </w:r>
    </w:p>
    <w:p>
      <w:pPr>
        <w:pStyle w:val="Heading2"/>
      </w:pPr>
      <w:r>
        <w:t xml:space="preserve">4.2 Replace Simulated Scores with Governed Models</w:t>
      </w:r>
    </w:p>
    <w:p>
      <w:pPr>
        <w:pStyle w:val="ListParagraph"/>
        <w:numPr>
          <w:ilvl w:val="0"/>
          <w:numId w:val="5"/>
        </w:numPr>
      </w:pPr>
      <w:r>
        <w:t xml:space="preserve">Remove Math.random()-based impact scores immediately.</w:t>
      </w:r>
    </w:p>
    <w:p>
      <w:pPr>
        <w:pStyle w:val="ListParagraph"/>
        <w:numPr>
          <w:ilvl w:val="0"/>
          <w:numId w:val="5"/>
        </w:numPr>
      </w:pPr>
      <w:r>
        <w:t xml:space="preserve">Introduce versioned, explainable scoring functions with published methodology and uncertainty.</w:t>
      </w:r>
    </w:p>
    <w:p>
      <w:pPr>
        <w:pStyle w:val="ListParagraph"/>
        <w:numPr>
          <w:ilvl w:val="0"/>
          <w:numId w:val="5"/>
        </w:numPr>
      </w:pPr>
      <w:r>
        <w:t xml:space="preserve">Attach a model card to every scoring release; require human authorization before any score can influence funding or operational recommendations.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Map each model to AI RMF Measure and Manage subcategories.</w:t>
      </w:r>
    </w:p>
    <w:p>
      <w:pPr>
        <w:pStyle w:val="Heading2"/>
      </w:pPr>
      <w:r>
        <w:t xml:space="preserve">4.3 Publish the Codebase as Open Source</w:t>
      </w:r>
    </w:p>
    <w:p>
      <w:pPr>
        <w:pStyle w:val="ListParagraph"/>
        <w:numPr>
          <w:ilvl w:val="0"/>
          <w:numId w:val="5"/>
        </w:numPr>
      </w:pPr>
      <w:r>
        <w:t xml:space="preserve">License: Apache-2.0 (recommended for patent grant and commercial clarity).</w:t>
      </w:r>
    </w:p>
    <w:p>
      <w:pPr>
        <w:pStyle w:val="ListParagraph"/>
        <w:numPr>
          <w:ilvl w:val="0"/>
          <w:numId w:val="5"/>
        </w:numPr>
      </w:pPr>
      <w:r>
        <w:t xml:space="preserve">Repository layout as defined in the prior ADR (apps/console, packages/data-contract, packages/trust-fabric, services/, docs/, infra/).</w:t>
      </w:r>
    </w:p>
    <w:p>
      <w:pPr>
        <w:pStyle w:val="ListParagraph"/>
        <w:numPr>
          <w:ilvl w:val="0"/>
          <w:numId w:val="5"/>
        </w:numPr>
      </w:pPr>
      <w:r>
        <w:t xml:space="preserve">Include CONTRIBUTING.md (DCO), CODE_OF_CONDUCT.md, SECURITY.md, and CODEOWNERS.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Stewardship Committee retains final authority on Trust Planes and critical-infrastructure changes.</w:t>
      </w:r>
    </w:p>
    <w:p>
      <w:pPr>
        <w:pStyle w:val="Heading2"/>
      </w:pPr>
      <w:r>
        <w:t xml:space="preserve">4.4 Map Every Subsystem to NIST AI RMF + CI Profile</w:t>
      </w:r>
    </w:p>
    <w:p>
      <w:pPr>
        <w:pStyle w:val="ListParagraph"/>
        <w:numPr>
          <w:ilvl w:val="0"/>
          <w:numId w:val="5"/>
        </w:numPr>
      </w:pPr>
      <w:r>
        <w:t xml:space="preserve">Create a living control matrix that links each TSM subsystem (Evidence Ledger, Benefit Engine, Tucker Power, 3D visualization, hydro models) to the relevant GOVERN/MAP/MEASURE/MANAGE subcategories.</w:t>
      </w:r>
    </w:p>
    <w:p>
      <w:pPr>
        <w:pStyle w:val="ListParagraph"/>
        <w:numPr>
          <w:ilvl w:val="0"/>
          <w:numId w:val="5"/>
        </w:numPr>
      </w:pPr>
      <w:r>
        <w:t xml:space="preserve">For any component that touches power, water, emergency management, or transportation, additionally map to the emerging Critical Infrastructure profile requirements as they mature.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Publish the matrix as part of the open-source documentation so the community can audit alignment.</w:t>
      </w:r>
    </w:p>
    <w:p>
      <w:pPr>
        <w:pStyle w:val="Heading2"/>
      </w:pPr>
      <w:r>
        <w:t xml:space="preserve">4.5 Maintain the Memorial Charter and Human Authority Rule</w:t>
      </w:r>
    </w:p>
    <w:p>
      <w:pPr>
        <w:pStyle w:val="ListParagraph"/>
        <w:numPr>
          <w:ilvl w:val="0"/>
          <w:numId w:val="5"/>
        </w:numPr>
      </w:pPr>
      <w:r>
        <w:t xml:space="preserve">The Beverly Ann Tucker Memorial Stewardship Charter remains the authoritative covenant and is rendered on the root route.</w:t>
      </w:r>
    </w:p>
    <w:p>
      <w:pPr>
        <w:pStyle w:val="ListParagraph"/>
        <w:numPr>
          <w:ilvl w:val="0"/>
          <w:numId w:val="5"/>
        </w:numPr>
      </w:pPr>
      <w:r>
        <w:t xml:space="preserve">Technical governance stays religion-neutral and legally non-discriminatory.</w:t>
      </w:r>
    </w:p>
    <w:p>
      <w:pPr>
        <w:pStyle w:val="ListParagraph"/>
        <w:numPr>
          <w:ilvl w:val="0"/>
          <w:numId w:val="5"/>
        </w:numPr>
      </w:pPr>
      <w:r>
        <w:t xml:space="preserve">The absolute rule is encoded in policy, in the Data Contract Schema (human_oversight_required), and in runtime gates: technology informs; human authority decides.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No autonomous subsystem ever receives authority merely because its model is accurate.</w:t>
      </w:r>
    </w:p>
    <w:p>
      <w:pPr>
        <w:pStyle w:val="Heading1"/>
      </w:pPr>
      <w:r>
        <w:t xml:space="preserve">5. Immediate Next Engineering Actions</w:t>
      </w:r>
    </w:p>
    <w:p>
      <w:pPr>
        <w:pStyle w:val="ListParagraph"/>
        <w:numPr>
          <w:ilvl w:val="0"/>
          <w:numId w:val="6"/>
        </w:numPr>
      </w:pPr>
      <w:r>
        <w:t xml:space="preserve">Introduce React Router v7 with the route map and granular lazy loading described above.</w:t>
      </w:r>
    </w:p>
    <w:p>
      <w:pPr>
        <w:pStyle w:val="ListParagraph"/>
        <w:numPr>
          <w:ilvl w:val="0"/>
          <w:numId w:val="6"/>
        </w:numPr>
      </w:pPr>
      <w:r>
        <w:t xml:space="preserve">Implement server-side Merkle tree for the Evidence Ledger using merkletreejs + domain-separated SHA-256.</w:t>
      </w:r>
    </w:p>
    <w:p>
      <w:pPr>
        <w:pStyle w:val="ListParagraph"/>
        <w:numPr>
          <w:ilvl w:val="0"/>
          <w:numId w:val="6"/>
        </w:numPr>
      </w:pPr>
      <w:r>
        <w:t xml:space="preserve">Begin the control-matrix document that maps every subsystem to AI RMF + CI profile.</w:t>
      </w:r>
    </w:p>
    <w:p>
      <w:pPr>
        <w:pStyle w:val="ListParagraph"/>
        <w:numPr>
          <w:ilvl w:val="0"/>
          <w:numId w:val="6"/>
        </w:numPr>
      </w:pPr>
      <w:r>
        <w:t xml:space="preserve">Remove all simulated scoring and replace with a first governed, human-authorized model.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Initialize the open-source repository skeleton and publish the existing Data Contract Schema and this Addendum under Apache-2.0.</w:t>
      </w:r>
    </w:p>
    <w:p>
      <w:pPr>
        <w:spacing w:before="240"/>
        <w:jc w:val="center"/>
      </w:pPr>
      <w:r>
        <w:rPr>
          <w:i/>
          <w:iCs/>
          <w:color w:val="666666"/>
          <w:sz w:val="17"/>
          <w:szCs w:val="17"/>
        </w:rPr>
        <w:t xml:space="preserve">— End of Technical Addendum —</w:t>
      </w:r>
    </w:p>
    <w:p>
      <w:pPr>
        <w:spacing w:before="60"/>
        <w:jc w:val="center"/>
      </w:pPr>
      <w:r>
        <w:rPr>
          <w:color w:val="1E3A5F"/>
          <w:sz w:val="15"/>
          <w:szCs w:val="15"/>
        </w:rPr>
        <w:t xml:space="preserve">God First  •  Serve Everyone  •  Open Source for the Common Good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Page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5"/>
        <w:szCs w:val="15"/>
      </w:rPr>
      <w:t xml:space="preserve">  |  God First • Serve Everyone • Open Source  |  2026-08-19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</w:pPr>
    <w:r>
      <w:rPr>
        <w:rFonts w:ascii="Arial" w:cs="Arial" w:eastAsia="Arial" w:hAnsi="Arial"/>
        <w:b/>
        <w:bCs/>
        <w:color w:val="1E3A5F"/>
        <w:sz w:val="17"/>
        <w:szCs w:val="17"/>
      </w:rPr>
      <w:t xml:space="preserve">TuckerInc.82  |  Tri-State Systems Manager</w:t>
    </w:r>
    <w:r>
      <w:rPr>
        <w:rFonts w:ascii="Arial" w:cs="Arial" w:eastAsia="Arial" w:hAnsi="Arial"/>
        <w:color w:val="666666"/>
        <w:sz w:val="17"/>
        <w:szCs w:val="17"/>
      </w:rPr>
      <w:t xml:space="preserve">  •  Routing • Merkle • NIST AI RMF Technical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A8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E6A9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2026-08-19T19:25:37.788Z</dcterms:created>
  <dcterms:modified xsi:type="dcterms:W3CDTF">2026-08-19T19:25:37.788Z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