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sidR="00B72756">
        <w:rPr>
          <w:rFonts w:ascii="Verdana" w:hAnsi="Verdana"/>
          <w:b/>
          <w:i/>
          <w:sz w:val="22"/>
          <w:szCs w:val="22"/>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 Quizzes will be delivered online via D2L, and all graded assignments will be distributed via MyAccountingLab. 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Required in-person meetings (Tuesday / Thursday, 8:30 a.m., room to be assigned by the Registrar) — you must come to campus only on these dates: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Tuesday, August 18, 2026 — First day of class — orientation</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Tuesday, September 15, 2026 — 1st Exam — Ch 1 &amp; 2 (+ Ch1-2 Practice Test due)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Thursday, October 8, 2026 — 2nd Exam — Chapters 3 &amp; 4</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Tuesday, November 10, 2026 — 3rd Exam — Chapters 5, 6, 7 &amp; 8</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 xml:space="preserve">        •  Thursday, December 3, 2026 — Comprehensive Final Exam — Ch. 1–9, 11, 12 &amp; 13</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985"/>
        <w:gridCol w:w="771"/>
        <w:gridCol w:w="4991"/>
        <w:gridCol w:w="1348"/>
        <w:gridCol w:w="1530"/>
        <w:gridCol w:w="1170"/>
      </w:tblGrid>
      <w:tr w:rsidR="006A41AA" w14:paraId="0B11D928" w14:textId="34A89B3D" w:rsidTr="006A41AA">
        <w:trPr>
          <w:trHeight w:val="510"/>
        </w:trPr>
        <w:tc>
          <w:tcPr>
            <w:tcW w:w="985"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771"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991"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8"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53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7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13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27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4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8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15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22 (Sun)</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Dec</w:t>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 (Tue)</w:t>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985"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r>
          </w:p>
        </w:tc>
        <w:tc>
          <w:tcPr>
            <w:tcW w:w="771"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r>
          </w:p>
        </w:tc>
        <w:tc>
          <w:tcPr>
            <w:tcW w:w="4991"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8"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53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7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985"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771"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3 (Thu)</w:t>
            </w:r>
          </w:p>
        </w:tc>
        <w:tc>
          <w:tcPr>
            <w:tcW w:w="9039"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1</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08/18 (Tue)</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Course Orientation &amp; Syllabus; Ch. 1 — Accounting and the Business Environment   (IN PERSON)</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08/20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 Accounting and the Business Environment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08/25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 Accounting and the Business Environment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4</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08/27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09/01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09/03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2 — Recording Business Transactions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09/08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Tuesday follows a Monday schedule — T/Th classes do not meet</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09/10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 &amp; 2 Review (Ch1-2 Practice Test)</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8</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09/15 (Tue)</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1st Exam: Ch. 1 &amp; 2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9</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09/17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10</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09/22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11</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09/24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 The Adjusting Process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09/29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10/01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4 — Completing the Accounting Cycle</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14</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10/06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3 &amp; 4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15</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10/08 (Thu)</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2nd Exam: Ch. 3 &amp; 4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10/13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 — Merchandising Operations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10/15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 — Merchandising Operations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18</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10/20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6 — Merchandise Inventory</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19</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10/22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6 — Merchandise Inventory</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20</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10/27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7 — Internal Control and Cash</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21</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10/29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8 — Receivables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22</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11/03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8 — Receivables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23</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11/05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5–8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24</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11/10 (Tue)</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3rd Exam: Ch. 5, 6, 7 &amp; 8   (IN PERSON — bring laptop &amp; student ID)</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25</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11/12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9 — Plant Assets, Natural Resources, and Intangibles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26</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11/17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11 — Current Liabilities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27</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11/19 (Thu)</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12 — Long-Term Liabilities</w:t>
            </w:r>
          </w:p>
        </w:tc>
      </w:tr>
      <w:tr w:rsidR="00735E1A" w:rsidRPr="005C1B86" w14:paraId="26DF1AFC" w14:textId="77777777" w:rsidTr="007F4A38">
        <w:tc>
          <w:tcPr>
            <w:tcW w:w="440" w:type="pct"/>
            <w:vAlign w:val="center"/>
          </w:tcPr>
          <w:p w14:paraId="08845BFB" w14:textId="77777777" w:rsidR="00735E1A" w:rsidRPr="00A9296B" w:rsidRDefault="00735E1A" w:rsidP="007F4A38">
            <w:pPr>
              <w:jc w:val="center"/>
              <w:rPr>
                <w:lang w:eastAsia="ko-KR"/>
              </w:rPr>
            </w:pPr>
            <w:r w:rsidRPr="00AD3D6B">
              <w:rPr>
                <w:rFonts w:hint="eastAsia"/>
                <w:b w:val="0"/>
                <w:sz w:val="22"/>
                <w:szCs w:val="22"/>
                <w:lang w:eastAsia="ko-KR"/>
              </w:rPr>
              <w:t>28</w:t>
            </w:r>
          </w:p>
        </w:tc>
        <w:tc>
          <w:tcPr>
            <w:tcW w:w="850" w:type="pct"/>
            <w:vAlign w:val="center"/>
          </w:tcPr>
          <w:p w14:paraId="58C95518" w14:textId="77777777" w:rsidR="00735E1A" w:rsidRPr="00A9296B" w:rsidRDefault="00735E1A" w:rsidP="007F4A38">
            <w:pPr>
              <w:ind w:rightChars="31" w:right="62"/>
              <w:jc w:val="center"/>
              <w:rPr>
                <w:lang w:eastAsia="ko-KR"/>
              </w:rPr>
            </w:pPr>
            <w:r w:rsidRPr="00AD3D6B">
              <w:rPr>
                <w:b w:val="0"/>
                <w:sz w:val="22"/>
                <w:szCs w:val="22"/>
              </w:rPr>
              <w:t>11/24 (Tue)</w:t>
            </w:r>
            <w:r>
              <w:rPr>
                <w:b w:val="0"/>
                <w:sz w:val="22"/>
                <w:szCs w:val="22"/>
              </w:rPr>
            </w:r>
            <w:r w:rsidRPr="00AD3D6B">
              <w:rPr>
                <w:b w:val="0"/>
                <w:sz w:val="22"/>
                <w:szCs w:val="22"/>
              </w:rPr>
            </w:r>
            <w:r>
              <w:rPr>
                <w:b w:val="0"/>
                <w:sz w:val="22"/>
                <w:szCs w:val="22"/>
              </w:rPr>
            </w:r>
          </w:p>
        </w:tc>
        <w:tc>
          <w:tcPr>
            <w:tcW w:w="3710" w:type="pct"/>
            <w:vAlign w:val="center"/>
          </w:tcPr>
          <w:p w14:paraId="3ED25A4D" w14:textId="77777777" w:rsidR="00735E1A" w:rsidRPr="00A9296B" w:rsidRDefault="00735E1A" w:rsidP="007F4A38">
            <w:pPr>
              <w:jc w:val="both"/>
            </w:pPr>
            <w:r w:rsidRPr="00A9296B">
              <w:rPr>
                <w:b w:val="0"/>
              </w:rPr>
              <w:t>Ch. 13 — Stockholders' Equity; Comprehensive Course Review</w:t>
            </w:r>
          </w:p>
        </w:tc>
      </w:tr>
      <w:tr w:rsidR="00735E1A" w:rsidRPr="005C1B86" w14:paraId="26DF1AFC" w14:textId="77777777" w:rsidTr="007F4A38">
        <w:tc>
          <w:tcPr>
            <w:tcW w:w="440" w:type="pct"/>
            <w:vAlign w:val="center"/>
            <w:shd w:val="clear" w:color="auto" w:fill="FFFF00"/>
          </w:tcPr>
          <w:p w14:paraId="08845BFB" w14:textId="77777777" w:rsidR="00735E1A" w:rsidRPr="00A9296B" w:rsidRDefault="00735E1A" w:rsidP="007F4A38">
            <w:pPr>
              <w:jc w:val="center"/>
              <w:rPr>
                <w:lang w:eastAsia="ko-KR"/>
              </w:rPr>
            </w:pPr>
            <w:r w:rsidRPr="00AD3D6B">
              <w:rPr>
                <w:rFonts w:hint="eastAsia"/>
                <w:b/>
                <w:sz w:val="22"/>
                <w:szCs w:val="22"/>
                <w:lang w:eastAsia="ko-KR"/>
              </w:rPr>
              <w:t>Final</w:t>
            </w:r>
          </w:p>
        </w:tc>
        <w:tc>
          <w:tcPr>
            <w:tcW w:w="850" w:type="pct"/>
            <w:vAlign w:val="center"/>
            <w:shd w:val="clear" w:color="auto" w:fill="FFFF00"/>
          </w:tcPr>
          <w:p w14:paraId="58C95518" w14:textId="77777777" w:rsidR="00735E1A" w:rsidRPr="00A9296B" w:rsidRDefault="00735E1A" w:rsidP="007F4A38">
            <w:pPr>
              <w:ind w:rightChars="31" w:right="62"/>
              <w:jc w:val="center"/>
              <w:rPr>
                <w:lang w:eastAsia="ko-KR"/>
              </w:rPr>
            </w:pPr>
            <w:r w:rsidRPr="00AD3D6B">
              <w:rPr>
                <w:b/>
                <w:sz w:val="22"/>
                <w:szCs w:val="22"/>
              </w:rPr>
              <w:t>12/03 (Thu)</w:t>
            </w:r>
            <w:r>
              <w:rPr>
                <w:b/>
                <w:sz w:val="22"/>
                <w:szCs w:val="22"/>
              </w:rPr>
            </w:r>
            <w:r w:rsidRPr="00AD3D6B">
              <w:rPr>
                <w:b/>
                <w:sz w:val="22"/>
                <w:szCs w:val="22"/>
              </w:rPr>
            </w:r>
            <w:r>
              <w:rPr>
                <w:b/>
                <w:sz w:val="22"/>
                <w:szCs w:val="22"/>
              </w:rPr>
            </w:r>
          </w:p>
        </w:tc>
        <w:tc>
          <w:tcPr>
            <w:tcW w:w="3710" w:type="pct"/>
            <w:vAlign w:val="center"/>
            <w:shd w:val="clear" w:color="auto" w:fill="FFFF00"/>
          </w:tcPr>
          <w:p w14:paraId="3ED25A4D" w14:textId="77777777" w:rsidR="00735E1A" w:rsidRPr="00A9296B" w:rsidRDefault="00735E1A" w:rsidP="007F4A38">
            <w:pPr>
              <w:jc w:val="both"/>
            </w:pPr>
            <w:r w:rsidRPr="00A9296B">
              <w:rPr>
                <w:b/>
              </w:rPr>
              <w:t>Comprehensive Final Exam: Ch. 1–9, 11, 12 &amp; 13 (final-exam week)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Important Notes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The Learning Objectives (L.O.s) for “Describe the Accounting Cycle,” presented in Chapters 2 and 3 of the current edition of the textbook, are not included in the Video Lecture PowerPoint (previous edition PPT) for the same chapters. However, this topic is thoroughly covered in the video lectures for Chapters 2, 3, and 4 and is summarized in detail in Chapter 4.</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In the Video Lecture PowerPoint (previous edition PPT), Chapter 3’s Learning Objective 3 (L.O.3) — “Explain the purpose of and journalize and post adjusting entries” — is not divided as it is in the current edition. The current edition separates this into:</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L.O.3: “Explain the purpose of and journalize and post adjusting entries for deferrals,” and</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L.O.4: “Explain the purpose of and journalize and post adjusting entries for accruals.”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While this distinction is not present in the previous edition, the content remains consistent and is fully addressed in the corresponding video lecture.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In the Video Lecture PowerPoint (previous edition PPT), Chapter 8’s Learning Objective 3 (L.O.3) — “Apply the allowance method for uncollectibles and estimate bad debts expense based on the percent-of-sales, percent-of-receivables, and aging-of-receivables methods” — is also not divided as in the current edition. The current edition separates this into:</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L.O.3: “Record transactions using the allowance method for uncollectibles,” and</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L.O.4: “Estimate bad debts expense based on the percent-of-sales, percent-of-receivables, and aging-of-receivables methods.”</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Again, while the format differs, the full explanation is included in the video lecture.</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r w:rsidRPr="009539CA">
        <w:rPr>
          <w:rFonts w:ascii="Verdana" w:hAnsi="Verdana"/>
          <w:sz w:val="22"/>
          <w:szCs w:val="22"/>
        </w:rPr>
      </w:r>
      <w:r w:rsidRPr="009539CA">
        <w:rPr>
          <w:rFonts w:ascii="Verdana" w:hAnsi="Verdana"/>
          <w:b/>
          <w:color w:val="0070C0"/>
          <w:sz w:val="22"/>
          <w:szCs w:val="22"/>
          <w:u w:val="single"/>
        </w:rPr>
      </w:r>
      <w:r w:rsidRPr="009539CA">
        <w:rPr>
          <w:rFonts w:ascii="Verdana" w:hAnsi="Verdana"/>
          <w:color w:val="44546A" w:themeColor="text2"/>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