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 9:45 a.m.    Location: Allgood Hall E157</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December 1, 2026 — Comprehensive Final Exam — Ch. 1–9, 11, 12 &amp; 13 (7:30 – 10:00 a.m.)</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The Fall class time is fixed by the Registrar and cannot be changed.</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If you are ever asked for a course ID - registering outside D2L, or contacting Pearson Support - this section is 2026-FA-ACCT2101-B and the course ID is park60232. Register at https://mlm.pearson.com/enrollment/park60232 and sign in later at https://mlm.pearson.com. If you are not ready to pay, choose “Get temporary access without payment” so you can start on time. Pearson CLOSES ENROLLMENT for this course on Monday, August 31, 2026 - the same night your first graded assignment is due. After that you cannot join the MyLab course at all, so register in the first week.</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August 24, 2026)</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Exams/Quizzes) by 11:59 pm on August 24, 2026. Because this course meets in person only five times, the required first meeting on August 18, 2026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DEADLINES, LATE WORK, AND EXAM FORMAT</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All assignments and quizzes are due at 11:59 pm on the date shown on the Course Schedule.</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Ch1-2 Practice (100 points) and Ch1-2 Test (100 points) are due Monday, September 14, 2026 (11:59 PM), the night before the 1st Exam. Submit each code in its own D2L folder under Assessments → Assignments — “Ch 1-2 Practice — Completion Code (100 points)” and “Ch 1-2 Test — Result Code (100 points)”. One submission each, and no late submissions are accepted.</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No late submissions are accepted — for any assignment or quiz. Anything submitted after 11:59 PM on its due date receives a zero; there is no partial credit for late work.</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Exam format — to be announced. The exam platform (MyAccountingLab or an instructor-built exam), the number of questions and the time limit are announced on D2L before each exam. Every exam is taken on a computer, in person, in the assigned classroom. The Comprehensive Final Exam covers Ch. 1–9, 11, 12 &amp; 13 — the entire course, not only the material since the 3rd Exam.</w:t>
      </w:r>
      <w:r w:rsidR="00CD58AF">
        <w:rPr>
          <w:rFonts w:ascii="Cambria" w:hAnsi="Cambria" w:hint="eastAsia"/>
          <w:color w:val="000000"/>
          <w:lang w:eastAsia="ko-KR"/>
        </w:rPr>
      </w:r>
      <w:r w:rsidRPr="00B23DB0">
        <w:rPr>
          <w:rFonts w:ascii="Cambria" w:hAnsi="Cambria"/>
          <w:color w:val="000000"/>
        </w:rPr>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WITHDRAWAL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