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Auburn-Regions Data Hackathon</w:t>
      </w:r>
    </w:p>
    <w:p>
      <w:pPr>
        <w:jc w:val="center"/>
      </w:pPr>
      <w:r>
        <w:rPr>
          <w:b/>
          <w:color w:val="6B4E16"/>
        </w:rPr>
        <w:t>Participant Guide and Data Dictionary</w:t>
      </w:r>
    </w:p>
    <w:p>
      <w:pPr>
        <w:jc w:val="center"/>
      </w:pPr>
      <w:r>
        <w:t>Auburn University | Sponsored by Regions Bank</w:t>
      </w:r>
    </w:p>
    <w:p/>
    <w:p>
      <w:pPr>
        <w:pStyle w:val="Heading1"/>
      </w:pPr>
      <w:r>
        <w:t>Challenge brief</w:t>
      </w:r>
    </w:p>
    <w:p>
      <w:r>
        <w:t>Build a reproducible decision-support solution that estimates the probability of material payment difficulty for each applicant in the hidden evaluation set, then translate those estimates into a responsible lending recommendation. The data are simulated and do not represent Regions Bank customers, underwriting policy, or financial assumptions.</w:t>
      </w:r>
    </w:p>
    <w:p>
      <w:pPr>
        <w:pStyle w:val="ListBullet"/>
      </w:pPr>
      <w:r>
        <w:t>Predict a probability between 0 and 1 for every evaluation CustomerID.</w:t>
      </w:r>
    </w:p>
    <w:p>
      <w:pPr>
        <w:pStyle w:val="ListBullet"/>
      </w:pPr>
      <w:r>
        <w:t>Show how relational history improves, or does not improve, the applicant-level model.</w:t>
      </w:r>
    </w:p>
    <w:p>
      <w:pPr>
        <w:pStyle w:val="ListBullet"/>
      </w:pPr>
      <w:r>
        <w:t>Explain business trade-offs, model limitations, and responsible-use checks.</w:t>
      </w:r>
    </w:p>
    <w:p>
      <w:pPr>
        <w:pStyle w:val="ListBullet"/>
      </w:pPr>
      <w:r>
        <w:t>Provide code and environment details that allow organizers to rerun the submission.</w:t>
      </w:r>
    </w:p>
    <w:p>
      <w:pPr>
        <w:pStyle w:val="Heading1"/>
      </w:pPr>
      <w:r>
        <w:t>Data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Split</w:t>
            </w:r>
          </w:p>
        </w:tc>
        <w:tc>
          <w:tcPr>
            <w:tcW w:type="dxa" w:w="2160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Applicants</w:t>
            </w:r>
          </w:p>
        </w:tc>
        <w:tc>
          <w:tcPr>
            <w:tcW w:type="dxa" w:w="2592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Outcome included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7"/>
              </w:rPr>
              <w:t>Training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30,000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7,500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7,500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p>
      <w:r>
        <w:t>The generated default rate is approximately 12.1%. Applicant files share CustomerID with credit_account_history.csv, prior_lending_activity.csv, and responsible_use_audit.csv.</w:t>
      </w:r>
    </w:p>
    <w:p>
      <w:pPr>
        <w:pStyle w:val="ListBullet"/>
      </w:pPr>
      <w:r>
        <w:t>application_train.csv - primary labeled development data.</w:t>
      </w:r>
    </w:p>
    <w:p>
      <w:pPr>
        <w:pStyle w:val="ListBullet"/>
      </w:pPr>
      <w:r>
        <w:t>application_validation.csv - labeled holdout for local checking.</w:t>
      </w:r>
    </w:p>
    <w:p>
      <w:pPr>
        <w:pStyle w:val="ListBullet"/>
      </w:pPr>
      <w:r>
        <w:t>application_evaluation.csv - unlabeled competition records.</w:t>
      </w:r>
    </w:p>
    <w:p>
      <w:pPr>
        <w:pStyle w:val="ListBullet"/>
      </w:pPr>
      <w:r>
        <w:t>credit_account_history.csv - up to six historical account records per applicant.</w:t>
      </w:r>
    </w:p>
    <w:p>
      <w:pPr>
        <w:pStyle w:val="ListBullet"/>
      </w:pPr>
      <w:r>
        <w:t>prior_lending_activity.csv - up to four prior requests per applicant.</w:t>
      </w:r>
    </w:p>
    <w:p>
      <w:pPr>
        <w:pStyle w:val="ListBullet"/>
      </w:pPr>
      <w:r>
        <w:t>responsible_use_audit.csv - audit-only groups. Do not use them as model inputs or lending criteria.</w:t>
      </w:r>
    </w:p>
    <w:p>
      <w:pPr>
        <w:pStyle w:val="Heading1"/>
      </w:pPr>
      <w:r>
        <w:t>Required submission</w:t>
      </w:r>
    </w:p>
    <w:p>
      <w:pPr>
        <w:pStyle w:val="ListNumber"/>
      </w:pPr>
      <w:r>
        <w:t>Create predictions.csv with exactly two columns: CustomerID and PredictedDefaultProbability.</w:t>
      </w:r>
    </w:p>
    <w:p>
      <w:pPr>
        <w:pStyle w:val="ListNumber"/>
      </w:pPr>
      <w:r>
        <w:t>Include every evaluation CustomerID exactly once; do not include training or validation IDs.</w:t>
      </w:r>
    </w:p>
    <w:p>
      <w:pPr>
        <w:pStyle w:val="ListNumber"/>
      </w:pPr>
      <w:r>
        <w:t>Use decimal probabilities in [0, 1]. Hard labels are not accepted.</w:t>
      </w:r>
    </w:p>
    <w:p>
      <w:pPr>
        <w:pStyle w:val="ListNumber"/>
      </w:pPr>
      <w:r>
        <w:t>Submit code, dependency information, a short executive summary, and presentation slides alongside the prediction file.</w:t>
      </w:r>
    </w:p>
    <w:p>
      <w:r>
        <w:t>Prediction performance is evaluated using ROC AUC and contributes to the weighted overall score. The same overall score also incorporates business relevance, engineering and reproducibility, communication, and responsible analytics. A technically valid prediction file is necessary but not sufficient to place.</w:t>
      </w:r>
    </w:p>
    <w:p>
      <w:pPr>
        <w:pStyle w:val="Heading1"/>
      </w:pPr>
      <w:r>
        <w:t>Awards and overall ranking</w:t>
      </w:r>
    </w:p>
    <w:p>
      <w:r>
        <w:t>All teams compete for one overall ranking. Judges score each of the five dimensions on a 0-100 scale; the published weights produce a single overall score out of 100. The three highest-ranked eligible teams receive the following awards.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Overall rank</w:t>
            </w:r>
          </w:p>
        </w:tc>
        <w:tc>
          <w:tcPr>
            <w:tcW w:type="dxa" w:w="2016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Award</w:t>
            </w:r>
          </w:p>
        </w:tc>
        <w:tc>
          <w:tcPr>
            <w:tcW w:type="dxa" w:w="6192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7"/>
              </w:rPr>
              <w:t>1st Place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  <w:t>$12,000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7"/>
              </w:rPr>
              <w:t>$3,000 per student for four team members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7"/>
              </w:rPr>
              <w:t>2nd Place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  <w:t>$6,000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7"/>
              </w:rPr>
              <w:t>$1,500 per student for four team members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7"/>
              </w:rPr>
              <w:t>3rd Place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  <w:t>Bicycles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sz w:val="17"/>
              </w:rPr>
              <w:t>Bicycle award; fulfillment details communicated by the organizers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Judging dimension</w:t>
            </w:r>
          </w:p>
        </w:tc>
        <w:tc>
          <w:tcPr>
            <w:tcW w:type="dxa" w:w="1152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5904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7"/>
              </w:rPr>
              <w:t>Predictive analytics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sz w:val="17"/>
              </w:rPr>
              <w:t>Hidden-evaluation AUC, validation discipline, and calibration discussion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7"/>
              </w:rPr>
              <w:t>Business decision strategy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sz w:val="17"/>
              </w:rPr>
              <w:t>Actionable recommendation and risk-growth trade-offs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7"/>
              </w:rPr>
              <w:t>Data engineering and reproducibility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sz w:val="17"/>
              </w:rPr>
              <w:t>Relational features, clean pipeline, and rerun success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7"/>
              </w:rPr>
              <w:t>Storytelling and communication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sz w:val="17"/>
              </w:rPr>
              <w:t>Clear evidence, visuals, and presentation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7"/>
              </w:rPr>
              <w:t>Responsible analytics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sz w:val="17"/>
              </w:rPr>
              <w:t>Appropriate audit use, limitations, and monitoring plan</w:t>
            </w:r>
          </w:p>
        </w:tc>
      </w:tr>
    </w:tbl>
    <w:p/>
    <w:p>
      <w:r>
        <w:t>Overall score = 25% Predictive Analytics + 25% Business Decision Strategy + 20% Data Engineering and Reproducibility + 15% Storytelling and Communication + 15% Responsible Analytics. Ties are reviewed first on Responsible Analytics, then Data Engineering and Reproducibility, then Predictive Analytics.</w:t>
      </w:r>
    </w:p>
    <w:p>
      <w:pPr>
        <w:pStyle w:val="Heading1"/>
      </w:pPr>
      <w:r>
        <w:t>Competition integrity and responsible use</w:t>
      </w:r>
    </w:p>
    <w:p>
      <w:pPr>
        <w:pStyle w:val="ListBullet"/>
      </w:pPr>
      <w:r>
        <w:t>External labeled data, source-record lookup, recovered public labels, or manual label assignment are prohibited.</w:t>
      </w:r>
    </w:p>
    <w:p>
      <w:pPr>
        <w:pStyle w:val="ListBullet"/>
      </w:pPr>
      <w:r>
        <w:t>AuditGenderGroup and AuditAgeBand are supplied only for group-level evaluation and must not enter a model or approval rule.</w:t>
      </w:r>
    </w:p>
    <w:p>
      <w:pPr>
        <w:pStyle w:val="ListBullet"/>
      </w:pPr>
      <w:r>
        <w:t>Teams must disclose all external libraries, pretrained models, and non-release data used.</w:t>
      </w:r>
    </w:p>
    <w:p>
      <w:pPr>
        <w:pStyle w:val="ListBullet"/>
      </w:pPr>
      <w:r>
        <w:t>Finalists must provide runnable code; organizers may rerun work from the released files in a clean environment.</w:t>
      </w:r>
    </w:p>
    <w:p>
      <w:pPr>
        <w:pStyle w:val="ListBullet"/>
      </w:pPr>
      <w:r>
        <w:t>The task is educational. Do not interpret results as a deployable underwriting model.</w:t>
      </w:r>
    </w:p>
    <w:p>
      <w:pPr>
        <w:pStyle w:val="Heading1"/>
      </w:pPr>
      <w:r>
        <w:t>Starter workflow</w:t>
      </w:r>
    </w:p>
    <w:p>
      <w:pPr>
        <w:pStyle w:val="ListBullet"/>
      </w:pPr>
      <w:r>
        <w:t>Run starter/python_starter.py from the package root for a tested numeric baseline.</w:t>
      </w:r>
    </w:p>
    <w:p>
      <w:pPr>
        <w:pStyle w:val="ListBullet"/>
      </w:pPr>
      <w:r>
        <w:t>Use submission/prediction_template.csv as the authoritative evaluation-ID roster.</w:t>
      </w:r>
    </w:p>
    <w:p>
      <w:pPr>
        <w:pStyle w:val="ListBullet"/>
      </w:pPr>
      <w:r>
        <w:t>Install dependencies from starter/requirements.txt or starter/environment.yml.</w:t>
      </w:r>
    </w:p>
    <w:p>
      <w:pPr>
        <w:pStyle w:val="ListBullet"/>
      </w:pPr>
      <w:r>
        <w:t>Verify the ZIP and individual files using SHA256SUMS.txt before beginning work.</w:t>
      </w:r>
    </w:p>
    <w:p>
      <w:pPr>
        <w:pStyle w:val="Heading1"/>
      </w:pPr>
      <w:r>
        <w:t>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2232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440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Type / units</w:t>
            </w:r>
          </w:p>
        </w:tc>
        <w:tc>
          <w:tcPr>
            <w:tcW w:type="dxa" w:w="4464"/>
            <w:vAlign w:val="center"/>
            <w:shd w:fill="0B3B2E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CustomerID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Synthetic join key shared across tables.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ApplicationMonth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YYYY-MM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Month of the simulated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ProductType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Installment, revolving, or other credit product.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LoanPurpose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Simulated primary use of requested credit.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ApplicantAge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years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Age at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EmploymentYears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years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Approximate continuous employment tenure; may be missing.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AnnualIncome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Simulated annual household income; values are not actual dollars from a bank.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RequestedAmount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Requested credit amount.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AnnualPayment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Estimated annual scheduled payment.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GoodsValue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Estimated value associated with financed goods, where applicable.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Children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Number of dependent children, capped at six.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HouseholdSize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Number of people in the household.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EducationLevel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Recoded education category.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MaritalStatus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Recoded marital or partnership status.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HousingStatus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Current housing arrangement.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IncomeSource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Primary income-source group.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OccupationGroup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Broad occupational group; may be missing.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OwnsVehicle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Whether the applicant owns a vehicle.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OwnsHome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Whether the applicant reports real-property ownership.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MarketTier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Synthetic market-size and volatility grouping.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ResidenceWorkMismatch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0/1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Indicator that residence and work market differ.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VehicleAgeYears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years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Age of owned vehicle; missing can also mean unavailable.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VendorScoreAtlas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300-850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Simulated third-party risk score; higher indicates lower modeled risk.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VendorScoreBeacon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300-850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Second simulated third-party risk score.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VendorScoreCedar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300-850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Third simulated third-party risk score.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CreditInquiries12M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Recent credit inquiries.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PhoneTenureYears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years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Approximate tenure of current phone contact.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CommunityLatePaymentRate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0-1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Noisy contextual late-payment indicator; not an individual payment record.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LoanToIncomeRatio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ratio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RequestedAmount / AnnualIncome.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PaymentToIncomeRatio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ratio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AnnualPayment / AnnualIncome.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IncomePerHouseholdMember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AnnualIncome / HouseholdSize.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DataCompletenessScore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0-1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Share of applicant fields present before final controlled masking.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PriorAccountCount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Count of supplied credit-account history records.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ActiveAccountCount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Count of supplied accounts currently open.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OutstandingBalance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Sum of current balances in supplied account history.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OverdueAccountCount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Accounts with past-due days or overdue balance.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CreditHistoryYears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years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Age of oldest supplied account record.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PriorApplicationCount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Count of supplied prior lending requests.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PriorApprovalRate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0-1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Share of supplied prior requests approved.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AveragePriorRequestedAmount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Mean requested amount in prior requests.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application_*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DebtToIncomeRatio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ratio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(OutstandingBalance + RequestedAmount) / AnnualIncome.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train/validation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DefaultFlag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0/1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Newly generated outcome. 1 denotes material payment difficulty in the simulated performance window.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AccountRecordID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Synthetic account-record key.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AccountStatus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Open, closed, transferred, charged off, or other.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AccountType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Broad account product.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OpenedMonthsAgo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months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Months between account opening and current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ScheduledEndMonthOffset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months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Scheduled end relative to application; positive is after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OriginalBalance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Original account balance or limit.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CurrentBalance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Outstanding balance at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OverdueBalance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Past-due balance.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DaysPastDue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days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Days past due at the reference date.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credit_account_history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TimesExtended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Number of reported extensions or prolongations.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PriorRequestID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Synthetic prior-request key.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DecisionStatus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Approved, declined, withdrawn, offer not used, or other.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ProductCategory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Broad prior product.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RequestedAmount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Amount requested in prior request.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ApprovedAmount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Amount approved or offered.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ScheduledPayment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USD-like units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Scheduled payment when available.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TermMonths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months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Requested or approved term.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DecisionMonthsAgo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months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Months between prior decision and current application.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ChannelGroup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Broad acquisition or servicing channel.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PricingBand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Synthetic relative pricing band.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prior_lending_activity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DownPaymentRate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0-1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Down payment divided by associated purchase amount, where available.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responsible_use_audit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AuditGenderGroup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Audit-only simulated group; prohibited as a model or approval input.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7"/>
              </w:rPr>
              <w:t>responsible_use_audit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7"/>
              </w:rPr>
              <w:t>AuditAgeBand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7"/>
              </w:rPr>
              <w:t>Audit-only age band for performance comparisons.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Participant Guide | Version 2026.2-awards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4E1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3B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