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 451 Codebook and Qualitative Memo Template</w:t>
      </w:r>
    </w:p>
    <w:p>
      <w:pPr>
        <w:pStyle w:val="Subtitle"/>
      </w:pPr>
      <w:r>
        <w:t xml:space="preserve">MC 451 template</w:t>
      </w:r>
    </w:p>
    <w:p>
      <w:pPr>
        <w:pStyle w:val="FirstParagraph"/>
      </w:pPr>
      <w:r>
        <w:t xml:space="preserve">How to use this template: replace every line in italics with your own writing, then delete the italics. Use it as it is, or as inspiration for your own layout. The headings follow the rubric, so each part maps to one grading row.</w:t>
      </w:r>
    </w:p>
    <w:bookmarkStart w:id="17" w:name="part-1-codebook"/>
    <w:p>
      <w:pPr>
        <w:pStyle w:val="Heading1"/>
      </w:pPr>
      <w:r>
        <w:t xml:space="preserve">Part 1: Codebook</w:t>
      </w:r>
    </w:p>
    <w:bookmarkStart w:id="9" w:name="study-overview"/>
    <w:p>
      <w:pPr>
        <w:pStyle w:val="Heading2"/>
      </w:pPr>
      <w:r>
        <w:t xml:space="preserve">Study overview</w:t>
      </w:r>
    </w:p>
    <w:p>
      <w:pPr>
        <w:pStyle w:val="FirstParagraph"/>
      </w:pPr>
      <w:r>
        <w:rPr>
          <w:i/>
          <w:iCs/>
        </w:rPr>
        <w:t xml:space="preserve">Three to four sentences naming your research question, the material you are coding (platform, language, what was collected), and the time period (first and last date).</w:t>
      </w:r>
    </w:p>
    <w:bookmarkEnd w:id="9"/>
    <w:bookmarkStart w:id="10" w:name="unit-of-analysis"/>
    <w:p>
      <w:pPr>
        <w:pStyle w:val="Heading2"/>
      </w:pPr>
      <w:r>
        <w:t xml:space="preserve">Unit of analysis</w:t>
      </w:r>
    </w:p>
    <w:p>
      <w:pPr>
        <w:pStyle w:val="FirstParagraph"/>
      </w:pPr>
      <w:r>
        <w:rPr>
          <w:i/>
          <w:iCs/>
        </w:rPr>
        <w:t xml:space="preserve">State exactly what one coded item is (one message, one post, one minute of video), and say what is not part of it (replies, links, images). State it once. Every variable below is coded on this item.</w:t>
      </w:r>
    </w:p>
    <w:bookmarkEnd w:id="10"/>
    <w:bookmarkStart w:id="13" w:name="variables"/>
    <w:p>
      <w:pPr>
        <w:pStyle w:val="Heading2"/>
      </w:pPr>
      <w:r>
        <w:t xml:space="preserve">Variables</w:t>
      </w:r>
    </w:p>
    <w:p>
      <w:pPr>
        <w:pStyle w:val="FirstParagraph"/>
      </w:pPr>
      <w:r>
        <w:t xml:space="preserve">Repeat the table below once per variable, as many times as your study has variables. Delete any copy you do not use.</w:t>
      </w:r>
    </w:p>
    <w:bookmarkStart w:id="11" w:name="variable-1-name"/>
    <w:p>
      <w:pPr>
        <w:pStyle w:val="Heading3"/>
      </w:pPr>
      <w:r>
        <w:t xml:space="preserve">Variable 1:</w:t>
      </w:r>
      <w:r>
        <w:t xml:space="preserve"> </w:t>
      </w:r>
      <w:r>
        <w:rPr>
          <w:i/>
          <w:iCs/>
        </w:rPr>
        <w:t xml:space="preserve">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Your entry</w:t>
            </w:r>
          </w:p>
        </w:tc>
      </w:tr>
      <w:tr>
        <w:tc>
          <w:tcPr/>
          <w:p>
            <w:pPr>
              <w:pStyle w:val="Compact"/>
              <w:jc w:val="left"/>
            </w:pPr>
            <w:r>
              <w:t xml:space="preserve">Conceptual definition and source</w:t>
            </w:r>
          </w:p>
        </w:tc>
        <w:tc>
          <w:tcPr/>
          <w:p>
            <w:pPr>
              <w:pStyle w:val="Compact"/>
              <w:jc w:val="left"/>
            </w:pPr>
            <w:r>
              <w:rPr>
                <w:i/>
                <w:iCs/>
              </w:rPr>
              <w:t xml:space="preserve">What the concept means, in a sentence or two, with the source you took it from (author, year).</w:t>
            </w:r>
          </w:p>
        </w:tc>
      </w:tr>
      <w:tr>
        <w:tc>
          <w:tcPr/>
          <w:p>
            <w:pPr>
              <w:pStyle w:val="Compact"/>
              <w:jc w:val="left"/>
            </w:pPr>
            <w:r>
              <w:t xml:space="preserve">Operational definition</w:t>
            </w:r>
          </w:p>
        </w:tc>
        <w:tc>
          <w:tcPr/>
          <w:p>
            <w:pPr>
              <w:pStyle w:val="Compact"/>
              <w:jc w:val="left"/>
            </w:pPr>
            <w:r>
              <w:rPr>
                <w:i/>
                <w:iCs/>
              </w:rPr>
              <w:t xml:space="preserve">What the coder does: what to read, what to look for, and which value to mark. Write it as steps a stranger could follow.</w:t>
            </w:r>
          </w:p>
        </w:tc>
      </w:tr>
      <w:tr>
        <w:tc>
          <w:tcPr/>
          <w:p>
            <w:pPr>
              <w:pStyle w:val="Compact"/>
              <w:jc w:val="left"/>
            </w:pPr>
            <w:r>
              <w:t xml:space="preserve">Level of measurement, and what it allows</w:t>
            </w:r>
          </w:p>
        </w:tc>
        <w:tc>
          <w:tcPr/>
          <w:p>
            <w:pPr>
              <w:pStyle w:val="Compact"/>
              <w:jc w:val="left"/>
            </w:pPr>
            <w:r>
              <w:rPr>
                <w:i/>
                <w:iCs/>
              </w:rPr>
              <w:t xml:space="preserve">Nominal, ordinal, interval, or ratio. One sentence on what it allows (counts, a median, a mean) and one on what it rules out.</w:t>
            </w:r>
          </w:p>
        </w:tc>
      </w:tr>
      <w:tr>
        <w:tc>
          <w:tcPr/>
          <w:p>
            <w:pPr>
              <w:pStyle w:val="Compact"/>
              <w:jc w:val="left"/>
            </w:pPr>
            <w:r>
              <w:t xml:space="preserve">Coded values</w:t>
            </w:r>
          </w:p>
        </w:tc>
        <w:tc>
          <w:tcPr/>
          <w:p>
            <w:pPr>
              <w:pStyle w:val="Compact"/>
              <w:jc w:val="left"/>
            </w:pPr>
            <w:r>
              <w:rPr>
                <w:i/>
                <w:iCs/>
              </w:rPr>
              <w:t xml:space="preserve">Each value with its meaning (0 = …, 1 = …). Include an other value or a none value so every item has somewhere to go.</w:t>
            </w:r>
          </w:p>
        </w:tc>
      </w:tr>
      <w:tr>
        <w:tc>
          <w:tcPr/>
          <w:p>
            <w:pPr>
              <w:pStyle w:val="Compact"/>
              <w:jc w:val="left"/>
            </w:pPr>
            <w:r>
              <w:t xml:space="preserve">Edge-case decision rules</w:t>
            </w:r>
          </w:p>
        </w:tc>
        <w:tc>
          <w:tcPr/>
          <w:p>
            <w:pPr>
              <w:pStyle w:val="Compact"/>
              <w:jc w:val="left"/>
            </w:pPr>
            <w:r>
              <w:rPr>
                <w:i/>
                <w:iCs/>
              </w:rPr>
              <w:t xml:space="preserve">At least two rules for this variable, each written as a rule:</w:t>
            </w:r>
            <w:r>
              <w:rPr>
                <w:i/>
                <w:iCs/>
              </w:rPr>
              <w:t xml:space="preserve"> </w:t>
            </w:r>
            <w:r>
              <w:rPr>
                <w:i/>
                <w:iCs/>
              </w:rPr>
              <w:t xml:space="preserve">“If …, code …”</w:t>
            </w:r>
            <w:r>
              <w:rPr>
                <w:i/>
                <w:iCs/>
              </w:rPr>
              <w:t xml:space="preserve">.</w:t>
            </w:r>
          </w:p>
        </w:tc>
      </w:tr>
    </w:tbl>
    <w:bookmarkEnd w:id="11"/>
    <w:bookmarkStart w:id="12" w:name="variable-2-name"/>
    <w:p>
      <w:pPr>
        <w:pStyle w:val="Heading3"/>
      </w:pPr>
      <w:r>
        <w:t xml:space="preserve">Variable 2:</w:t>
      </w:r>
      <w:r>
        <w:t xml:space="preserve"> </w:t>
      </w:r>
      <w:r>
        <w:rPr>
          <w:i/>
          <w:iCs/>
        </w:rPr>
        <w:t xml:space="preserve">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Your entry</w:t>
            </w:r>
          </w:p>
        </w:tc>
      </w:tr>
      <w:tr>
        <w:tc>
          <w:tcPr/>
          <w:p>
            <w:pPr>
              <w:pStyle w:val="Compact"/>
              <w:jc w:val="left"/>
            </w:pPr>
            <w:r>
              <w:t xml:space="preserve">Conceptual definition and source</w:t>
            </w:r>
          </w:p>
        </w:tc>
        <w:tc>
          <w:tcPr/>
          <w:p>
            <w:pPr>
              <w:pStyle w:val="Compact"/>
              <w:jc w:val="left"/>
            </w:pPr>
            <w:r>
              <w:rPr>
                <w:i/>
                <w:iCs/>
              </w:rPr>
              <w:t xml:space="preserve">Definition, with its source.</w:t>
            </w:r>
          </w:p>
        </w:tc>
      </w:tr>
      <w:tr>
        <w:tc>
          <w:tcPr/>
          <w:p>
            <w:pPr>
              <w:pStyle w:val="Compact"/>
              <w:jc w:val="left"/>
            </w:pPr>
            <w:r>
              <w:t xml:space="preserve">Operational definition</w:t>
            </w:r>
          </w:p>
        </w:tc>
        <w:tc>
          <w:tcPr/>
          <w:p>
            <w:pPr>
              <w:pStyle w:val="Compact"/>
              <w:jc w:val="left"/>
            </w:pPr>
            <w:r>
              <w:rPr>
                <w:i/>
                <w:iCs/>
              </w:rPr>
              <w:t xml:space="preserve">Coder actions, as steps.</w:t>
            </w:r>
          </w:p>
        </w:tc>
      </w:tr>
      <w:tr>
        <w:tc>
          <w:tcPr/>
          <w:p>
            <w:pPr>
              <w:pStyle w:val="Compact"/>
              <w:jc w:val="left"/>
            </w:pPr>
            <w:r>
              <w:t xml:space="preserve">Level of measurement, and what it allows</w:t>
            </w:r>
          </w:p>
        </w:tc>
        <w:tc>
          <w:tcPr/>
          <w:p>
            <w:pPr>
              <w:pStyle w:val="Compact"/>
              <w:jc w:val="left"/>
            </w:pPr>
            <w:r>
              <w:rPr>
                <w:i/>
                <w:iCs/>
              </w:rPr>
              <w:t xml:space="preserve">Level, what it allows, and what it rules out.</w:t>
            </w:r>
          </w:p>
        </w:tc>
      </w:tr>
      <w:tr>
        <w:tc>
          <w:tcPr/>
          <w:p>
            <w:pPr>
              <w:pStyle w:val="Compact"/>
              <w:jc w:val="left"/>
            </w:pPr>
            <w:r>
              <w:t xml:space="preserve">Coded values</w:t>
            </w:r>
          </w:p>
        </w:tc>
        <w:tc>
          <w:tcPr/>
          <w:p>
            <w:pPr>
              <w:pStyle w:val="Compact"/>
              <w:jc w:val="left"/>
            </w:pPr>
            <w:r>
              <w:rPr>
                <w:i/>
                <w:iCs/>
              </w:rPr>
              <w:t xml:space="preserve">Each value with its meaning, including other or none.</w:t>
            </w:r>
          </w:p>
        </w:tc>
      </w:tr>
      <w:tr>
        <w:tc>
          <w:tcPr/>
          <w:p>
            <w:pPr>
              <w:pStyle w:val="Compact"/>
              <w:jc w:val="left"/>
            </w:pPr>
            <w:r>
              <w:t xml:space="preserve">Edge-case decision rules</w:t>
            </w:r>
          </w:p>
        </w:tc>
        <w:tc>
          <w:tcPr/>
          <w:p>
            <w:pPr>
              <w:pStyle w:val="Compact"/>
              <w:jc w:val="left"/>
            </w:pPr>
            <w:r>
              <w:rPr>
                <w:i/>
                <w:iCs/>
              </w:rPr>
              <w:t xml:space="preserve">At least two rules:</w:t>
            </w:r>
            <w:r>
              <w:rPr>
                <w:i/>
                <w:iCs/>
              </w:rPr>
              <w:t xml:space="preserve"> </w:t>
            </w:r>
            <w:r>
              <w:rPr>
                <w:i/>
                <w:iCs/>
              </w:rPr>
              <w:t xml:space="preserve">“If …, code …”</w:t>
            </w:r>
            <w:r>
              <w:rPr>
                <w:i/>
                <w:iCs/>
              </w:rPr>
              <w:t xml:space="preserve">.</w:t>
            </w:r>
          </w:p>
        </w:tc>
      </w:tr>
    </w:tbl>
    <w:bookmarkEnd w:id="12"/>
    <w:bookmarkEnd w:id="13"/>
    <w:bookmarkStart w:id="14" w:name="decision-rules-for-the-whole-codebook"/>
    <w:p>
      <w:pPr>
        <w:pStyle w:val="Heading2"/>
      </w:pPr>
      <w:r>
        <w:t xml:space="preserve">Decision rules for the whole codebook</w:t>
      </w:r>
    </w:p>
    <w:p>
      <w:pPr>
        <w:pStyle w:val="FirstParagraph"/>
      </w:pPr>
      <w:r>
        <w:rPr>
          <w:i/>
          <w:iCs/>
        </w:rPr>
        <w:t xml:space="preserve">Rules for the cases that do not sort themselves and apply across variables (an item off topic, a duplicate, an item that fits two categories). Write each as a rule, and cover the hard calls you actually met while reading your material.</w:t>
      </w:r>
    </w:p>
    <w:p>
      <w:pPr>
        <w:pStyle w:val="Compact"/>
        <w:numPr>
          <w:ilvl w:val="0"/>
          <w:numId w:val="1001"/>
        </w:numPr>
      </w:pPr>
      <w:r>
        <w:rPr>
          <w:i/>
          <w:iCs/>
        </w:rPr>
        <w:t xml:space="preserve">If …, code …</w:t>
      </w:r>
    </w:p>
    <w:p>
      <w:pPr>
        <w:pStyle w:val="Compact"/>
        <w:numPr>
          <w:ilvl w:val="0"/>
          <w:numId w:val="1001"/>
        </w:numPr>
      </w:pPr>
      <w:r>
        <w:rPr>
          <w:i/>
          <w:iCs/>
        </w:rPr>
        <w:t xml:space="preserve">If …, code …</w:t>
      </w:r>
    </w:p>
    <w:p>
      <w:pPr>
        <w:pStyle w:val="Compact"/>
        <w:numPr>
          <w:ilvl w:val="0"/>
          <w:numId w:val="1001"/>
        </w:numPr>
      </w:pPr>
      <w:r>
        <w:rPr>
          <w:i/>
          <w:iCs/>
        </w:rPr>
        <w:t xml:space="preserve">If …, code …</w:t>
      </w:r>
    </w:p>
    <w:bookmarkEnd w:id="14"/>
    <w:bookmarkStart w:id="15" w:name="examples"/>
    <w:p>
      <w:pPr>
        <w:pStyle w:val="Heading2"/>
      </w:pPr>
      <w:r>
        <w:t xml:space="preserve">Examples</w:t>
      </w:r>
    </w:p>
    <w:p>
      <w:pPr>
        <w:pStyle w:val="FirstParagraph"/>
      </w:pPr>
      <w:r>
        <w:rPr>
          <w:i/>
          <w:iCs/>
        </w:rPr>
        <w:t xml:space="preserve">Two or three examples for every value of every variable, taken from your own material, each one clearly belonging to its category. Paraphrase rather than quote anything that could lead back to a private person.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 and value</w:t>
            </w:r>
          </w:p>
        </w:tc>
        <w:tc>
          <w:tcPr/>
          <w:p>
            <w:pPr>
              <w:pStyle w:val="Compact"/>
              <w:jc w:val="left"/>
            </w:pPr>
            <w:r>
              <w:t xml:space="preserve">Two or three examples from your material</w:t>
            </w:r>
          </w:p>
        </w:tc>
      </w:tr>
      <w:tr>
        <w:tc>
          <w:tcPr/>
          <w:p>
            <w:pPr>
              <w:pStyle w:val="Compact"/>
              <w:jc w:val="left"/>
            </w:pPr>
            <w:r>
              <w:rPr>
                <w:i/>
                <w:iCs/>
              </w:rPr>
              <w:t xml:space="preserve">Variable 1, value 0</w:t>
            </w:r>
          </w:p>
        </w:tc>
        <w:tc>
          <w:tcPr/>
          <w:p>
            <w:pPr>
              <w:pStyle w:val="Compact"/>
              <w:jc w:val="left"/>
            </w:pPr>
            <w:r>
              <w:rPr>
                <w:i/>
                <w:iCs/>
              </w:rPr>
              <w:t xml:space="preserve">(a) … (b) …</w:t>
            </w:r>
          </w:p>
        </w:tc>
      </w:tr>
      <w:tr>
        <w:tc>
          <w:tcPr/>
          <w:p>
            <w:pPr>
              <w:pStyle w:val="Compact"/>
              <w:jc w:val="left"/>
            </w:pPr>
            <w:r>
              <w:rPr>
                <w:i/>
                <w:iCs/>
              </w:rPr>
              <w:t xml:space="preserve">Variable 1, value 1</w:t>
            </w:r>
          </w:p>
        </w:tc>
        <w:tc>
          <w:tcPr/>
          <w:p>
            <w:pPr>
              <w:pStyle w:val="Compact"/>
              <w:jc w:val="left"/>
            </w:pPr>
            <w:r>
              <w:rPr>
                <w:i/>
                <w:iCs/>
              </w:rPr>
              <w:t xml:space="preserve">(a) … (b) …</w:t>
            </w:r>
          </w:p>
        </w:tc>
      </w:tr>
      <w:tr>
        <w:tc>
          <w:tcPr/>
          <w:p>
            <w:pPr>
              <w:pStyle w:val="Compact"/>
              <w:jc w:val="left"/>
            </w:pPr>
            <w:r>
              <w:rPr>
                <w:i/>
                <w:iCs/>
              </w:rPr>
              <w:t xml:space="preserve">Variable 2, value 0</w:t>
            </w:r>
          </w:p>
        </w:tc>
        <w:tc>
          <w:tcPr/>
          <w:p>
            <w:pPr>
              <w:pStyle w:val="Compact"/>
              <w:jc w:val="left"/>
            </w:pPr>
            <w:r>
              <w:rPr>
                <w:i/>
                <w:iCs/>
              </w:rPr>
              <w:t xml:space="preserve">(a) … (b) …</w:t>
            </w:r>
          </w:p>
        </w:tc>
      </w:tr>
    </w:tbl>
    <w:bookmarkEnd w:id="15"/>
    <w:bookmarkStart w:id="16" w:name="single-coder-note"/>
    <w:p>
      <w:pPr>
        <w:pStyle w:val="Heading2"/>
      </w:pPr>
      <w:r>
        <w:t xml:space="preserve">Single-coder note</w:t>
      </w:r>
    </w:p>
    <w:p>
      <w:pPr>
        <w:pStyle w:val="FirstParagraph"/>
      </w:pPr>
      <w:r>
        <w:rPr>
          <w:i/>
          <w:iCs/>
        </w:rPr>
        <w:t xml:space="preserve">Paragraph 1: say in plain words that you are the only coder, so every reliability claim is about your own consistency.</w:t>
      </w:r>
    </w:p>
    <w:p>
      <w:pPr>
        <w:pStyle w:val="BodyText"/>
      </w:pPr>
      <w:r>
        <w:rPr>
          <w:i/>
          <w:iCs/>
        </w:rPr>
        <w:t xml:space="preserve">Paragraph 2: name at least three safeguards you are using (from the rubric’s list or your own), each as what you do.</w:t>
      </w:r>
    </w:p>
    <w:p>
      <w:pPr>
        <w:pStyle w:val="BodyText"/>
      </w:pPr>
      <w:r>
        <w:rPr>
          <w:i/>
          <w:iCs/>
        </w:rPr>
        <w:t xml:space="preserve">Paragraph 3: the second-coder counterfactual, written as what you would do if this study had a second coder: how many items you would double-code, what number you would report, how you would train the coder and settle disagreements, and which finding is most at risk.</w:t>
      </w:r>
    </w:p>
    <w:bookmarkEnd w:id="16"/>
    <w:bookmarkEnd w:id="17"/>
    <w:bookmarkStart w:id="19" w:name="part-2-qualitative-memo"/>
    <w:p>
      <w:pPr>
        <w:pStyle w:val="Heading1"/>
      </w:pPr>
      <w:r>
        <w:t xml:space="preserve">Part 2: Qualitative memo</w:t>
      </w:r>
    </w:p>
    <w:p>
      <w:pPr>
        <w:pStyle w:val="FirstParagraph"/>
      </w:pPr>
      <w:r>
        <w:rPr>
          <w:i/>
          <w:iCs/>
        </w:rPr>
        <w:t xml:space="preserve">200 to 300 words on the patterns you saw while reading or watching your material. Describe what you saw, not the topic in general. Name the pattern behind each codebook category, so every category traces back to something here.</w:t>
      </w:r>
    </w:p>
    <w:bookmarkStart w:id="18" w:name="references"/>
    <w:p>
      <w:pPr>
        <w:pStyle w:val="Heading2"/>
      </w:pPr>
      <w:r>
        <w:t xml:space="preserve">References</w:t>
      </w:r>
    </w:p>
    <w:p>
      <w:pPr>
        <w:pStyle w:val="FirstParagraph"/>
      </w:pPr>
      <w:r>
        <w:rPr>
          <w:i/>
          <w:iCs/>
        </w:rPr>
        <w:t xml:space="preserve">Every source cited above, in APA 7.</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color w:val="22262B"/>
        <w:sz w:val="24"/>
        <w:szCs w:val="24"/>
        <w:lang w:val="en-US"/>
      </w:rPr>
    </w:rPrDefault>
    <w:pPrDefault>
      <w:pPr>
        <w:spacing w:after="200"/>
      </w:pPr>
    </w:pPrDefault>
  </w:docDefaults>
  <w:latentStyles w:count="276" w:defLockedState="0" w:defQFormat="0" w:defSemiHidden="0" w:defUIPriority="0" w:defUnhideWhenUsed="0"/>
  <w:style w:styleId="Normal" w:type="paragraph">
    <w:name w:val="Normal"/>
    <w:qFormat/>
    <w:pPr>
      <w:spacing w:after="160" w:before="0" w:line="276" w:lineRule="auto"/>
    </w:pPr>
    <w:rPr>
      <w:rFonts w:ascii="Cambria" w:cs="Cambria" w:hAnsi="Cambria"/>
      <w:color w:val="22262B"/>
      <w:sz w:val="24"/>
      <w:szCs w:val="24"/>
    </w:rPr>
  </w:style>
  <w:style w:styleId="BodyText" w:type="paragraph">
    <w:name w:val="Body Text"/>
    <w:basedOn w:val="Normal"/>
    <w:link w:val="BodyTextChar"/>
    <w:qFormat/>
    <w:pPr>
      <w:spacing w:after="160" w:before="0" w:line="276" w:lineRule="auto"/>
    </w:pPr>
    <w:rPr>
      <w:rFonts w:ascii="Cambria" w:cs="Cambria" w:hAnsi="Cambria"/>
      <w:color w:val="22262B"/>
      <w:sz w:val="24"/>
      <w:szCs w:val="24"/>
    </w:rPr>
  </w:style>
  <w:style w:styleId="FirstParagraph" w:type="paragraph">
    <w:name w:val="First Paragraph"/>
    <w:basedOn w:val="BodyText"/>
    <w:qFormat/>
  </w:style>
  <w:style w:styleId="Compact" w:type="paragraph">
    <w:name w:val="Compact"/>
    <w:basedOn w:val="BodyText"/>
    <w:qFormat/>
    <w:pPr>
      <w:spacing w:after="40" w:before="0" w:line="276" w:lineRule="auto"/>
    </w:pPr>
  </w:style>
  <w:style w:styleId="Title" w:type="paragraph">
    <w:name w:val="Title"/>
    <w:basedOn w:val="Normal"/>
    <w:next w:val="Subtitle"/>
    <w:link w:val="TitleChar"/>
    <w:qFormat/>
    <w:pPr>
      <w:keepNext/>
      <w:keepLines/>
      <w:spacing w:after="60" w:before="0"/>
      <w:jc w:val="center"/>
    </w:pPr>
    <w:rPr>
      <w:rFonts w:ascii="Calibri" w:cs="Calibri" w:hAnsi="Calibri"/>
      <w:b/>
      <w:color w:val="1B3A5C"/>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Normal"/>
    <w:next w:val="Author"/>
    <w:link w:val="SubtitleChar"/>
    <w:qFormat/>
    <w:pPr>
      <w:keepNext/>
      <w:keepLines/>
      <w:spacing w:after="60" w:before="0"/>
      <w:jc w:val="center"/>
    </w:pPr>
    <w:rPr>
      <w:rFonts w:ascii="Cambria" w:cs="Cambria" w:hAnsi="Cambria"/>
      <w:i/>
      <w:color w:val="595959"/>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Author" w:type="paragraph">
    <w:name w:val="Author"/>
    <w:basedOn w:val="Normal"/>
    <w:next w:val="Date"/>
    <w:qFormat/>
    <w:pPr>
      <w:spacing w:after="40" w:before="0"/>
      <w:jc w:val="center"/>
    </w:pPr>
    <w:rPr>
      <w:rFonts w:ascii="Cambria" w:cs="Cambria" w:hAnsi="Cambria"/>
      <w:color w:val="22262B"/>
      <w:sz w:val="24"/>
      <w:szCs w:val="24"/>
    </w:rPr>
  </w:style>
  <w:style w:styleId="Date" w:type="paragraph">
    <w:name w:val="Date"/>
    <w:basedOn w:val="Normal"/>
    <w:next w:val="BodyText"/>
    <w:qFormat/>
    <w:pPr>
      <w:spacing w:after="320" w:before="0"/>
      <w:jc w:val="center"/>
    </w:pPr>
    <w:rPr>
      <w:rFonts w:ascii="Cambria" w:cs="Cambria" w:hAnsi="Cambria"/>
      <w:i/>
      <w:color w:val="595959"/>
      <w:sz w:val="24"/>
      <w:szCs w:val="24"/>
    </w:rPr>
  </w:style>
  <w:style w:customStyle="1" w:styleId="AbstractTitle" w:type="paragraph">
    <w:name w:val="Abstract Title"/>
    <w:basedOn w:val="Normal"/>
    <w:next w:val="Abstract"/>
    <w:qFormat/>
    <w:pPr>
      <w:keepNext/>
      <w:keepLines/>
      <w:spacing w:after="0" w:before="300"/>
      <w:jc w:val="center"/>
    </w:pPr>
    <w:rPr>
      <w:b/>
      <w:sz w:val="22"/>
      <w:szCs w:val="22"/>
    </w:rPr>
  </w:style>
  <w:style w:customStyle="1" w:styleId="Abstract" w:type="paragraph">
    <w:name w:val="Abstract"/>
    <w:basedOn w:val="Normal"/>
    <w:next w:val="BodyText"/>
    <w:qFormat/>
    <w:pPr>
      <w:keepNext/>
      <w:keepLines/>
      <w:spacing w:after="300" w:before="100"/>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link w:val="Heading1Char"/>
    <w:qFormat/>
    <w:pPr>
      <w:keepNext/>
      <w:keepLines/>
      <w:spacing w:after="100" w:before="320"/>
      <w:pBdr>
        <w:bottom w:color="1B3A5C" w:space="4" w:sz="6" w:val="single"/>
      </w:pBdr>
      <w:outlineLvl w:val="0"/>
    </w:pPr>
    <w:rPr>
      <w:rFonts w:ascii="Calibri" w:cs="Calibri" w:hAnsi="Calibri"/>
      <w:b/>
      <w:smallCaps/>
      <w:color w:val="1B3A5C"/>
      <w:spacing w:val="10"/>
      <w:sz w:val="26"/>
      <w:szCs w:val="26"/>
    </w:rPr>
  </w:style>
  <w:style w:styleId="Heading2" w:type="paragraph">
    <w:name w:val="heading 2"/>
    <w:basedOn w:val="Normal"/>
    <w:next w:val="BodyText"/>
    <w:link w:val="Heading2Char"/>
    <w:qFormat/>
    <w:pPr>
      <w:keepNext/>
      <w:keepLines/>
      <w:spacing w:after="80" w:before="260"/>
      <w:outlineLvl w:val="1"/>
    </w:pPr>
    <w:rPr>
      <w:rFonts w:ascii="Calibri" w:cs="Calibri" w:hAnsi="Calibri"/>
      <w:b/>
      <w:color w:val="1B3A5C"/>
      <w:sz w:val="24"/>
      <w:szCs w:val="24"/>
    </w:rPr>
  </w:style>
  <w:style w:styleId="Heading3" w:type="paragraph">
    <w:name w:val="heading 3"/>
    <w:basedOn w:val="Normal"/>
    <w:next w:val="BodyText"/>
    <w:link w:val="Heading3Char"/>
    <w:qFormat/>
    <w:pPr>
      <w:keepNext/>
      <w:keepLines/>
      <w:spacing w:after="60" w:before="220"/>
      <w:outlineLvl w:val="2"/>
    </w:pPr>
    <w:rPr>
      <w:rFonts w:ascii="Calibri" w:cs="Calibri" w:hAnsi="Calibri"/>
      <w:b/>
      <w:i/>
      <w:color w:val="15605C"/>
      <w:sz w:val="24"/>
      <w:szCs w:val="24"/>
    </w:rPr>
  </w:style>
  <w:style w:styleId="Heading4" w:type="paragraph">
    <w:name w:val="heading 4"/>
    <w:basedOn w:val="Normal"/>
    <w:next w:val="BodyText"/>
    <w:link w:val="Heading4Char"/>
    <w:qFormat/>
    <w:pPr>
      <w:keepNext/>
      <w:keepLines/>
      <w:spacing w:after="40" w:before="200"/>
      <w:outlineLvl w:val="3"/>
    </w:pPr>
    <w:rPr>
      <w:rFonts w:ascii="Cambria" w:cs="Cambria" w:hAnsi="Cambria"/>
      <w:b/>
      <w:color w:val="22262B"/>
      <w:sz w:val="24"/>
      <w:szCs w:val="24"/>
    </w:rPr>
  </w:style>
  <w:style w:styleId="Heading5" w:type="paragraph">
    <w:name w:val="heading 5"/>
    <w:basedOn w:val="Normal"/>
    <w:next w:val="BodyText"/>
    <w:link w:val="Heading5Char"/>
    <w:qFormat/>
    <w:pPr>
      <w:keepNext/>
      <w:keepLines/>
      <w:spacing w:after="40" w:before="180"/>
      <w:outlineLvl w:val="4"/>
    </w:pPr>
    <w:rPr>
      <w:rFonts w:ascii="Cambria" w:cs="Cambria" w:hAnsi="Cambria"/>
      <w:i/>
      <w:color w:val="22262B"/>
      <w:sz w:val="24"/>
      <w:szCs w:val="24"/>
    </w:rPr>
  </w:style>
  <w:style w:styleId="Heading6" w:type="paragraph">
    <w:name w:val="heading 6"/>
    <w:basedOn w:val="Normal"/>
    <w:next w:val="BodyText"/>
    <w:link w:val="Heading6Char"/>
    <w:qFormat/>
    <w:pPr>
      <w:keepNext/>
      <w:keepLines/>
      <w:spacing w:after="40" w:before="160"/>
      <w:outlineLvl w:val="5"/>
    </w:pPr>
    <w:rPr>
      <w:rFonts w:ascii="Cambria" w:cs="Cambria" w:hAnsi="Cambria"/>
      <w:i/>
      <w:color w:val="595959"/>
      <w:sz w:val="24"/>
      <w:szCs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8"/>
      <w:szCs w:val="28"/>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120" w:before="120"/>
      <w:ind w:left="360" w:right="360"/>
      <w:pBdr>
        <w:left w:color="15605C" w:space="10" w:sz="12" w:val="single"/>
      </w:pBdr>
    </w:pPr>
    <w:rPr>
      <w:rFonts w:ascii="Cambria" w:cs="Cambria" w:hAnsi="Cambria"/>
      <w:i/>
      <w:color w:val="22262B"/>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BodyText"/>
    <w:qFormat/>
    <w:pPr>
      <w:spacing w:after="160" w:before="80"/>
    </w:pPr>
    <w:rPr>
      <w:rFonts w:ascii="Cambria" w:cs="Cambria" w:hAnsi="Cambria"/>
      <w:i/>
      <w:color w:val="595959"/>
      <w:sz w:val="24"/>
      <w:szCs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qFormat/>
    <w:rPr>
      <w:rFonts w:ascii="Consolas" w:cs="Consolas" w:hAnsi="Consolas"/>
      <w:color w:val="22262B"/>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451 Codebook and Qualitative Memo Template</dc:title>
  <dc:creator/>
  <dc:language>en-US</dc:language>
  <cp:keywords/>
  <dcterms:created xsi:type="dcterms:W3CDTF">2026-10-20T19:21:42Z</dcterms:created>
  <dcterms:modified xsi:type="dcterms:W3CDTF">2026-10-20T19:21:42Z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MC 451 template</vt:lpwstr>
  </property>
</Properties>
</file>